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03DC9" w14:textId="16DF8EE3" w:rsidR="00DA3253" w:rsidRPr="00535B7B" w:rsidRDefault="00DA3253" w:rsidP="00DA3253">
      <w:pPr>
        <w:jc w:val="right"/>
        <w:rPr>
          <w:bCs/>
          <w:noProof/>
          <w:szCs w:val="22"/>
          <w:lang w:eastAsia="en-GB"/>
        </w:rPr>
      </w:pPr>
      <w:r w:rsidRPr="00535B7B">
        <w:rPr>
          <w:bCs/>
          <w:noProof/>
          <w:szCs w:val="22"/>
          <w:lang w:eastAsia="en-GB"/>
        </w:rPr>
        <w:t>0</w:t>
      </w:r>
      <w:r w:rsidR="00535140" w:rsidRPr="00535B7B">
        <w:rPr>
          <w:bCs/>
          <w:noProof/>
          <w:szCs w:val="22"/>
          <w:lang w:eastAsia="en-GB"/>
        </w:rPr>
        <w:t>7</w:t>
      </w:r>
      <w:r w:rsidRPr="00535B7B">
        <w:rPr>
          <w:bCs/>
          <w:noProof/>
          <w:szCs w:val="22"/>
          <w:lang w:eastAsia="en-GB"/>
        </w:rPr>
        <w:t>.08.25</w:t>
      </w:r>
    </w:p>
    <w:p w14:paraId="2EA0C813" w14:textId="53227F49" w:rsidR="00BB48F0" w:rsidRPr="00535B7B" w:rsidRDefault="00714098" w:rsidP="00200233">
      <w:pPr>
        <w:rPr>
          <w:b/>
          <w:noProof/>
          <w:sz w:val="30"/>
          <w:szCs w:val="30"/>
          <w:lang w:eastAsia="en-GB"/>
        </w:rPr>
      </w:pPr>
      <w:hyperlink r:id="rId11" w:history="1">
        <w:r w:rsidRPr="00535B7B">
          <w:rPr>
            <w:rStyle w:val="Hyperlink"/>
            <w:b/>
            <w:noProof/>
            <w:sz w:val="30"/>
            <w:szCs w:val="30"/>
            <w:lang w:eastAsia="en-GB"/>
          </w:rPr>
          <w:t>Resp@ofgem.gov.uk</w:t>
        </w:r>
      </w:hyperlink>
    </w:p>
    <w:p w14:paraId="0D51B6AA" w14:textId="77777777" w:rsidR="00265DB1" w:rsidRPr="00535B7B" w:rsidRDefault="00265DB1" w:rsidP="00200233">
      <w:pPr>
        <w:rPr>
          <w:b/>
          <w:bCs/>
          <w:noProof/>
          <w:sz w:val="30"/>
          <w:szCs w:val="30"/>
          <w:lang w:eastAsia="en-GB"/>
        </w:rPr>
      </w:pPr>
    </w:p>
    <w:p w14:paraId="71BA5064" w14:textId="77777777" w:rsidR="003C395D" w:rsidRPr="006C04C5" w:rsidRDefault="00265DB1" w:rsidP="00200233">
      <w:pPr>
        <w:rPr>
          <w:b/>
          <w:bCs/>
          <w:noProof/>
          <w:sz w:val="40"/>
          <w:szCs w:val="40"/>
          <w:lang w:eastAsia="en-GB"/>
        </w:rPr>
      </w:pPr>
      <w:r w:rsidRPr="006C04C5">
        <w:rPr>
          <w:b/>
          <w:bCs/>
          <w:noProof/>
          <w:sz w:val="40"/>
          <w:szCs w:val="40"/>
          <w:lang w:eastAsia="en-GB"/>
        </w:rPr>
        <w:t>Regional Energy Spatial Plan</w:t>
      </w:r>
      <w:r w:rsidR="003C395D" w:rsidRPr="006C04C5">
        <w:rPr>
          <w:b/>
          <w:bCs/>
          <w:noProof/>
          <w:sz w:val="40"/>
          <w:szCs w:val="40"/>
          <w:lang w:eastAsia="en-GB"/>
        </w:rPr>
        <w:t xml:space="preserve">s </w:t>
      </w:r>
      <w:r w:rsidRPr="006C04C5">
        <w:rPr>
          <w:b/>
          <w:bCs/>
          <w:noProof/>
          <w:sz w:val="40"/>
          <w:szCs w:val="40"/>
          <w:lang w:eastAsia="en-GB"/>
        </w:rPr>
        <w:t xml:space="preserve">- Policy consultation on licence modifications </w:t>
      </w:r>
    </w:p>
    <w:p w14:paraId="239F5412" w14:textId="77777777" w:rsidR="003C395D" w:rsidRPr="00535B7B" w:rsidRDefault="003C395D" w:rsidP="00200233">
      <w:pPr>
        <w:rPr>
          <w:b/>
          <w:bCs/>
          <w:noProof/>
          <w:sz w:val="30"/>
          <w:szCs w:val="30"/>
          <w:lang w:eastAsia="en-GB"/>
        </w:rPr>
      </w:pPr>
    </w:p>
    <w:p w14:paraId="418824BE" w14:textId="44C2EC6F" w:rsidR="0090316B" w:rsidRPr="00C26EBD" w:rsidRDefault="0090316B" w:rsidP="00C26EBD">
      <w:pPr>
        <w:pStyle w:val="Heading1"/>
      </w:pPr>
      <w:r w:rsidRPr="00C26EBD">
        <w:t xml:space="preserve">Closing date </w:t>
      </w:r>
      <w:r w:rsidR="003C395D" w:rsidRPr="00C26EBD">
        <w:t>08.08.25</w:t>
      </w:r>
    </w:p>
    <w:p w14:paraId="61C2EBC9" w14:textId="77777777" w:rsidR="00BB48F0" w:rsidRPr="00535B7B" w:rsidRDefault="00BB48F0" w:rsidP="00BB7AE6"/>
    <w:p w14:paraId="21F0B2DE" w14:textId="51B9D8E7" w:rsidR="00BB7AE6" w:rsidRPr="00535B7B" w:rsidRDefault="00BB7AE6" w:rsidP="00BB7AE6">
      <w:r w:rsidRPr="00535B7B">
        <w:t xml:space="preserve">Dear sir or Madam, </w:t>
      </w:r>
    </w:p>
    <w:p w14:paraId="14E4A092" w14:textId="77777777" w:rsidR="00BB7AE6" w:rsidRPr="00535B7B" w:rsidRDefault="00BB7AE6" w:rsidP="002C5DB7">
      <w:pPr>
        <w:spacing w:after="200"/>
        <w:rPr>
          <w:szCs w:val="22"/>
        </w:rPr>
      </w:pPr>
    </w:p>
    <w:p w14:paraId="3EBC29C6" w14:textId="77777777" w:rsidR="00312564" w:rsidRPr="000505BF" w:rsidRDefault="00312564" w:rsidP="000505BF">
      <w:pPr>
        <w:rPr>
          <w:b/>
          <w:bCs/>
        </w:rPr>
      </w:pPr>
      <w:r w:rsidRPr="000505BF">
        <w:rPr>
          <w:b/>
          <w:bCs/>
        </w:rPr>
        <w:t>About us </w:t>
      </w:r>
    </w:p>
    <w:p w14:paraId="539B6FCA" w14:textId="6CBFFBBA" w:rsidR="00312564" w:rsidRPr="00535B7B" w:rsidRDefault="00312564" w:rsidP="00312564">
      <w:pPr>
        <w:spacing w:after="200"/>
        <w:rPr>
          <w:szCs w:val="22"/>
        </w:rPr>
      </w:pPr>
      <w:r w:rsidRPr="00535B7B">
        <w:rPr>
          <w:szCs w:val="22"/>
        </w:rPr>
        <w:t>The Centre for Sustainable Energy (CSE) is a charity supporting people and organisations across the UK to tackle the climate emergency and end the suffering caused by cold homes. We do this by sharing our knowledge, practical experience and policy recommendations</w:t>
      </w:r>
      <w:r w:rsidR="006B699F" w:rsidRPr="00535B7B">
        <w:rPr>
          <w:szCs w:val="22"/>
        </w:rPr>
        <w:t xml:space="preserve">. </w:t>
      </w:r>
    </w:p>
    <w:p w14:paraId="0D1C7094" w14:textId="440E3ED3" w:rsidR="00312564" w:rsidRPr="00535B7B" w:rsidRDefault="00312564" w:rsidP="00312564">
      <w:pPr>
        <w:spacing w:after="200"/>
        <w:rPr>
          <w:szCs w:val="22"/>
        </w:rPr>
      </w:pPr>
      <w:r w:rsidRPr="00535B7B">
        <w:rPr>
          <w:szCs w:val="22"/>
        </w:rPr>
        <w:t xml:space="preserve">For over 45 years, </w:t>
      </w:r>
      <w:r w:rsidR="00D27C3D" w:rsidRPr="00535B7B">
        <w:rPr>
          <w:szCs w:val="22"/>
        </w:rPr>
        <w:t>we have</w:t>
      </w:r>
      <w:r w:rsidRPr="00535B7B">
        <w:rPr>
          <w:szCs w:val="22"/>
        </w:rPr>
        <w:t xml:space="preserve"> supported people to take effective action on energy in their homes. We help communities and local councils to understand energy issues, set priorities, and put plans into action. Our research and analysis work focuses on making the energy system greener, smarter and fairer. We work across many dimensions of the energy system with a range of stakeholders who will play a crucial role in the RESPs delivery i.e. DES NZ (heat zoning modelling), communities (administering grant funds for DNOs, offering training to help them deliver fuel poverty projects, supporting them to run community consultation events), local councils (LAEPs, resource assessments and community consultation events, local plan support), networks (fuel poverty advice services, grant programmes for community groups, Strategic Investment Fund projects) and energy companies (fuel poverty advice services).  </w:t>
      </w:r>
      <w:r w:rsidR="004A0B9E" w:rsidRPr="00535B7B">
        <w:rPr>
          <w:szCs w:val="22"/>
        </w:rPr>
        <w:t xml:space="preserve">We previously commented </w:t>
      </w:r>
      <w:r w:rsidR="00427992" w:rsidRPr="00535B7B">
        <w:rPr>
          <w:szCs w:val="22"/>
        </w:rPr>
        <w:t xml:space="preserve">on the Regional Energy Strategic Plan policy framework consultation in </w:t>
      </w:r>
      <w:r w:rsidR="00176B8D" w:rsidRPr="00535B7B">
        <w:rPr>
          <w:szCs w:val="22"/>
        </w:rPr>
        <w:t>October 2024.</w:t>
      </w:r>
    </w:p>
    <w:p w14:paraId="4E5BABBB" w14:textId="018E15DC" w:rsidR="00671289" w:rsidRPr="00535B7B" w:rsidRDefault="00671289" w:rsidP="0056161F">
      <w:pPr>
        <w:pStyle w:val="Heading1"/>
      </w:pPr>
      <w:r w:rsidRPr="00535B7B">
        <w:t>Q</w:t>
      </w:r>
      <w:proofErr w:type="gramStart"/>
      <w:r w:rsidRPr="00535B7B">
        <w:t>1.Do</w:t>
      </w:r>
      <w:proofErr w:type="gramEnd"/>
      <w:r w:rsidRPr="00535B7B">
        <w:t xml:space="preserve"> you agree that the new definitions, as set out in paragraphs 2.4 – 2.14, adequately reflect the policy intent of the RESP? Please provide the reasons and any alternative suggestions if you disagree. </w:t>
      </w:r>
    </w:p>
    <w:p w14:paraId="53B193F4" w14:textId="77777777" w:rsidR="00671289" w:rsidRPr="00535B7B" w:rsidRDefault="00671289"/>
    <w:p w14:paraId="7A1D8528" w14:textId="77777777" w:rsidR="00183CE2" w:rsidRPr="00535B7B" w:rsidRDefault="00183CE2" w:rsidP="00183CE2">
      <w:r w:rsidRPr="00535B7B">
        <w:t xml:space="preserve">We agree that most of the new definitions reflect the policy intent of RESP, however no-where in the definitions it is explicit that RESP planning and pathways should have net zero emissions as a goal. </w:t>
      </w:r>
    </w:p>
    <w:p w14:paraId="598A3FB3" w14:textId="77777777" w:rsidR="00183CE2" w:rsidRPr="00535B7B" w:rsidRDefault="00183CE2" w:rsidP="00183CE2"/>
    <w:p w14:paraId="589B08C5" w14:textId="417C7404" w:rsidR="00183CE2" w:rsidRPr="00535B7B" w:rsidRDefault="00183CE2" w:rsidP="00183CE2">
      <w:pPr>
        <w:spacing w:after="160" w:line="259" w:lineRule="auto"/>
      </w:pPr>
      <w:r w:rsidRPr="00535B7B">
        <w:t xml:space="preserve">The definitions of Pathway (2.6) and RESP (2.8) should be amended to explicitly state that RESPs should outline a clear regional pathway to net zero, emphasizing the transition away from fossil fuels. Without this clarity the </w:t>
      </w:r>
      <w:r w:rsidR="001D34FA" w:rsidRPr="00535B7B">
        <w:t xml:space="preserve">central </w:t>
      </w:r>
      <w:r w:rsidRPr="00535B7B">
        <w:t>purpose of RESP as a tool for aligning</w:t>
      </w:r>
      <w:r w:rsidR="006E0334" w:rsidRPr="00535B7B">
        <w:t xml:space="preserve"> </w:t>
      </w:r>
      <w:r w:rsidR="00654A0C" w:rsidRPr="00535B7B">
        <w:t xml:space="preserve">energy system planning and </w:t>
      </w:r>
      <w:r w:rsidRPr="00535B7B">
        <w:t xml:space="preserve">investment with net zero is weakened. Furthermore, paragraph 2.8 refers to a whole systems </w:t>
      </w:r>
      <w:r w:rsidR="00A37FED" w:rsidRPr="00535B7B">
        <w:t>approach,</w:t>
      </w:r>
      <w:r w:rsidRPr="00535B7B">
        <w:t xml:space="preserve"> but this is not defined. We suggest the addition of this text o</w:t>
      </w:r>
      <w:r w:rsidR="0058131E" w:rsidRPr="00535B7B">
        <w:t>r</w:t>
      </w:r>
      <w:r w:rsidRPr="00535B7B">
        <w:t xml:space="preserve"> similar</w:t>
      </w:r>
      <w:r w:rsidR="0058131E" w:rsidRPr="00535B7B">
        <w:t xml:space="preserve"> at</w:t>
      </w:r>
      <w:r w:rsidRPr="00535B7B">
        <w:t xml:space="preserve"> 2.6: </w:t>
      </w:r>
    </w:p>
    <w:p w14:paraId="4EAC526B" w14:textId="3E743532" w:rsidR="00183CE2" w:rsidRPr="00535B7B" w:rsidRDefault="00183CE2" w:rsidP="00183CE2">
      <w:pPr>
        <w:spacing w:after="160" w:line="259" w:lineRule="auto"/>
        <w:rPr>
          <w:i/>
          <w:iCs/>
          <w:u w:val="single"/>
        </w:rPr>
      </w:pPr>
      <w:r w:rsidRPr="00535B7B">
        <w:rPr>
          <w:i/>
          <w:iCs/>
          <w:u w:val="single"/>
        </w:rPr>
        <w:t xml:space="preserve">The RESP </w:t>
      </w:r>
      <w:r w:rsidR="0058131E" w:rsidRPr="00535B7B">
        <w:rPr>
          <w:i/>
          <w:iCs/>
          <w:u w:val="single"/>
        </w:rPr>
        <w:t xml:space="preserve">should </w:t>
      </w:r>
      <w:r w:rsidRPr="00535B7B">
        <w:rPr>
          <w:i/>
          <w:iCs/>
          <w:u w:val="single"/>
        </w:rPr>
        <w:t>adopt a whole system perspective setting out and enabling a clear regional pathway to net zero i.e. reducing heat demand, decarbonising heat and power supply, transport and industry.</w:t>
      </w:r>
    </w:p>
    <w:p w14:paraId="5450D03A" w14:textId="77777777" w:rsidR="009C4B41" w:rsidRPr="00535B7B" w:rsidRDefault="009C4B41"/>
    <w:p w14:paraId="1655D9FE" w14:textId="77777777" w:rsidR="00671289" w:rsidRPr="00535B7B" w:rsidRDefault="00671289" w:rsidP="0056161F">
      <w:pPr>
        <w:pStyle w:val="Heading1"/>
      </w:pPr>
      <w:r w:rsidRPr="00535B7B">
        <w:t>Q</w:t>
      </w:r>
      <w:proofErr w:type="gramStart"/>
      <w:r w:rsidRPr="00535B7B">
        <w:t>2.Do</w:t>
      </w:r>
      <w:proofErr w:type="gramEnd"/>
      <w:r w:rsidRPr="00535B7B">
        <w:t xml:space="preserve"> you agree that the new licence text, as set out in Annexes A and B, adequately reflects the policy intent of the RESP? Please provide the reasons and any alternative suggestions if you disagree. </w:t>
      </w:r>
    </w:p>
    <w:p w14:paraId="50DA3EDB" w14:textId="77777777" w:rsidR="00FE449B" w:rsidRPr="00535B7B" w:rsidRDefault="00FE449B"/>
    <w:p w14:paraId="57AFE958" w14:textId="6B57F158" w:rsidR="00671289" w:rsidRPr="00535B7B" w:rsidRDefault="00FE449B">
      <w:r w:rsidRPr="00535B7B">
        <w:lastRenderedPageBreak/>
        <w:t>No.</w:t>
      </w:r>
    </w:p>
    <w:p w14:paraId="5425B822" w14:textId="77777777" w:rsidR="00FE449B" w:rsidRPr="00535B7B" w:rsidRDefault="00FE449B" w:rsidP="000313B6"/>
    <w:p w14:paraId="410DCEF5" w14:textId="0835EE65" w:rsidR="000313B6" w:rsidRPr="00535B7B" w:rsidRDefault="007B6E2A" w:rsidP="000313B6">
      <w:pPr>
        <w:rPr>
          <w:b/>
          <w:bCs/>
        </w:rPr>
      </w:pPr>
      <w:r w:rsidRPr="00535B7B">
        <w:t xml:space="preserve">Once again, nowhere is it clear that RESPs are to provide a regional pathway to Net Zero. </w:t>
      </w:r>
      <w:r w:rsidR="007B4BDB" w:rsidRPr="00535B7B">
        <w:t>We suggest this is made explicit in C19.4 (b)</w:t>
      </w:r>
      <w:r w:rsidR="000313B6" w:rsidRPr="00535B7B">
        <w:t xml:space="preserve"> of Appendix A (modifications to ESO licence</w:t>
      </w:r>
      <w:r w:rsidR="00D04D73" w:rsidRPr="00535B7B">
        <w:t xml:space="preserve"> conditions</w:t>
      </w:r>
      <w:r w:rsidR="000313B6" w:rsidRPr="00535B7B">
        <w:t>)</w:t>
      </w:r>
      <w:r w:rsidR="00B104C1" w:rsidRPr="00535B7B">
        <w:t xml:space="preserve"> and C13.4 (b) of Appendix B (</w:t>
      </w:r>
      <w:r w:rsidR="00D04D73" w:rsidRPr="00535B7B">
        <w:t>modifications to GSP licence conditions)</w:t>
      </w:r>
      <w:r w:rsidR="006B699F" w:rsidRPr="00535B7B">
        <w:t xml:space="preserve">. </w:t>
      </w:r>
    </w:p>
    <w:p w14:paraId="78811F30" w14:textId="131AFF8E" w:rsidR="000313B6" w:rsidRPr="00535B7B" w:rsidRDefault="000313B6" w:rsidP="000313B6"/>
    <w:p w14:paraId="5B570699" w14:textId="467F32B7" w:rsidR="007B6E2A" w:rsidRPr="00535B7B" w:rsidRDefault="00D04D73">
      <w:r w:rsidRPr="00535B7B">
        <w:t xml:space="preserve">We </w:t>
      </w:r>
      <w:r w:rsidR="00B344F1" w:rsidRPr="00535B7B">
        <w:t>would suggest the following amended text</w:t>
      </w:r>
      <w:r w:rsidR="00C07D93" w:rsidRPr="00535B7B">
        <w:t>:</w:t>
      </w:r>
    </w:p>
    <w:p w14:paraId="56027929" w14:textId="77777777" w:rsidR="00C07D93" w:rsidRPr="00535B7B" w:rsidRDefault="00C07D93"/>
    <w:p w14:paraId="1CC62B34" w14:textId="62F3C81B" w:rsidR="00C07D93" w:rsidRPr="00535B7B" w:rsidRDefault="00C07D93">
      <w:pPr>
        <w:rPr>
          <w:i/>
          <w:iCs/>
        </w:rPr>
      </w:pPr>
      <w:r w:rsidRPr="00535B7B">
        <w:rPr>
          <w:i/>
          <w:iCs/>
        </w:rPr>
        <w:t xml:space="preserve">“C19.4 In the development of each RESP and in accordance with the RESP Guidance, the licensee must: </w:t>
      </w:r>
    </w:p>
    <w:p w14:paraId="65BB7CF3" w14:textId="17AF26FF" w:rsidR="00C07D93" w:rsidRPr="00535B7B" w:rsidRDefault="00C07D93">
      <w:pPr>
        <w:rPr>
          <w:i/>
          <w:iCs/>
        </w:rPr>
      </w:pPr>
      <w:r w:rsidRPr="00535B7B">
        <w:rPr>
          <w:i/>
          <w:iCs/>
        </w:rPr>
        <w:t>(b) conduct spatial modelling of future energy supply and demand to develop a single short-term Pathway over a 10-year time horizon and multiple long</w:t>
      </w:r>
      <w:r w:rsidR="00C34FD8" w:rsidRPr="00535B7B">
        <w:rPr>
          <w:i/>
          <w:iCs/>
        </w:rPr>
        <w:t>-</w:t>
      </w:r>
      <w:r w:rsidRPr="00535B7B">
        <w:rPr>
          <w:i/>
          <w:iCs/>
        </w:rPr>
        <w:t xml:space="preserve">term Pathways </w:t>
      </w:r>
      <w:r w:rsidRPr="00535B7B">
        <w:rPr>
          <w:i/>
          <w:iCs/>
          <w:u w:val="single"/>
        </w:rPr>
        <w:t>consistent with the UK’s net zero commitment</w:t>
      </w:r>
      <w:r w:rsidR="0050007A" w:rsidRPr="00535B7B">
        <w:rPr>
          <w:i/>
          <w:iCs/>
          <w:u w:val="single"/>
        </w:rPr>
        <w:t xml:space="preserve"> or</w:t>
      </w:r>
      <w:r w:rsidR="00D020C7" w:rsidRPr="00535B7B">
        <w:rPr>
          <w:i/>
          <w:iCs/>
          <w:u w:val="single"/>
        </w:rPr>
        <w:t xml:space="preserve"> </w:t>
      </w:r>
      <w:r w:rsidR="009051F3" w:rsidRPr="00535B7B">
        <w:rPr>
          <w:i/>
          <w:iCs/>
          <w:u w:val="single"/>
        </w:rPr>
        <w:t xml:space="preserve">(where more ambitious) </w:t>
      </w:r>
      <w:r w:rsidR="00D020C7" w:rsidRPr="00535B7B">
        <w:rPr>
          <w:i/>
          <w:iCs/>
          <w:u w:val="single"/>
        </w:rPr>
        <w:t xml:space="preserve">agreed </w:t>
      </w:r>
      <w:r w:rsidR="000E0D7E">
        <w:rPr>
          <w:i/>
          <w:iCs/>
          <w:u w:val="single"/>
        </w:rPr>
        <w:t>local</w:t>
      </w:r>
      <w:r w:rsidR="00D020C7" w:rsidRPr="00535B7B">
        <w:rPr>
          <w:i/>
          <w:iCs/>
          <w:u w:val="single"/>
        </w:rPr>
        <w:t xml:space="preserve"> targets</w:t>
      </w:r>
      <w:r w:rsidRPr="00535B7B">
        <w:rPr>
          <w:i/>
          <w:iCs/>
        </w:rPr>
        <w:t>;”</w:t>
      </w:r>
    </w:p>
    <w:p w14:paraId="5E425370" w14:textId="77777777" w:rsidR="007B6E2A" w:rsidRPr="00535B7B" w:rsidRDefault="007B6E2A"/>
    <w:p w14:paraId="26D8A227" w14:textId="37AFB52A" w:rsidR="009F6291" w:rsidRPr="00535B7B" w:rsidRDefault="009F6291" w:rsidP="009F6291">
      <w:r w:rsidRPr="00535B7B">
        <w:t xml:space="preserve">For the sake of clarity, it should </w:t>
      </w:r>
      <w:r w:rsidR="0074335E" w:rsidRPr="00535B7B">
        <w:t xml:space="preserve">also </w:t>
      </w:r>
      <w:r w:rsidRPr="00535B7B">
        <w:t>be emphasised that even the short-term pathways need to demonstrate how they contribute to delivering net zero in the longer term. All pathways need to demonstrate how they deliver net zero even if short term pathways don’t deliver full decarbonisation immediately, they need to show how they are achieving net zero longer term e.g. the extent to which gas will be decarbonised in the short term whilst moving away from fossil fuels in the longer-term.</w:t>
      </w:r>
    </w:p>
    <w:p w14:paraId="547A9CA1" w14:textId="77777777" w:rsidR="00F13438" w:rsidRPr="00535B7B" w:rsidRDefault="00F13438"/>
    <w:p w14:paraId="72E80E39" w14:textId="18DF78C6" w:rsidR="00D6672B" w:rsidRPr="00535B7B" w:rsidRDefault="00D6672B" w:rsidP="00BD2EB9">
      <w:r w:rsidRPr="00535B7B">
        <w:t xml:space="preserve">Our view is that </w:t>
      </w:r>
      <w:r w:rsidR="00BD2EB9" w:rsidRPr="00535B7B">
        <w:t xml:space="preserve">the data with </w:t>
      </w:r>
      <w:r w:rsidRPr="00535B7B">
        <w:t xml:space="preserve">RESPs should </w:t>
      </w:r>
      <w:r w:rsidR="00BD2EB9" w:rsidRPr="00535B7B">
        <w:t xml:space="preserve">be </w:t>
      </w:r>
      <w:r w:rsidRPr="00535B7B">
        <w:t>refreshed annually</w:t>
      </w:r>
      <w:r w:rsidR="00FC26AD" w:rsidRPr="00535B7B">
        <w:t xml:space="preserve">. </w:t>
      </w:r>
      <w:r w:rsidR="00D27C3D" w:rsidRPr="00535B7B">
        <w:t>It is</w:t>
      </w:r>
      <w:r w:rsidR="00FC26AD" w:rsidRPr="00535B7B">
        <w:t xml:space="preserve"> not clear </w:t>
      </w:r>
      <w:r w:rsidRPr="00535B7B">
        <w:t xml:space="preserve">if a three-year full review is frequent enough for the RESP short-term pathways to be truly agile. For example, the DFES is currently updated every two years which suggests that three-year updates may be too infrequent to make them useful for network companies. </w:t>
      </w:r>
    </w:p>
    <w:p w14:paraId="6C9D8AF0" w14:textId="77777777" w:rsidR="00D6672B" w:rsidRPr="00535B7B" w:rsidRDefault="00D6672B"/>
    <w:p w14:paraId="26F31BEE" w14:textId="60E3709C" w:rsidR="009C23B6" w:rsidRPr="00535B7B" w:rsidRDefault="007C2DCB" w:rsidP="00452551">
      <w:pPr>
        <w:rPr>
          <w:i/>
          <w:iCs/>
        </w:rPr>
      </w:pPr>
      <w:r w:rsidRPr="00535B7B">
        <w:t>At paragraph C19.7</w:t>
      </w:r>
      <w:r w:rsidR="009C23B6" w:rsidRPr="00535B7B">
        <w:t xml:space="preserve"> of Appendix A and C13.</w:t>
      </w:r>
      <w:r w:rsidR="00C20580" w:rsidRPr="00535B7B">
        <w:t>7</w:t>
      </w:r>
      <w:r w:rsidR="009C23B6" w:rsidRPr="00535B7B">
        <w:t xml:space="preserve"> of Appendix B </w:t>
      </w:r>
      <w:r w:rsidR="00C20580" w:rsidRPr="00535B7B">
        <w:t>it states</w:t>
      </w:r>
      <w:r w:rsidR="00D926F3" w:rsidRPr="00535B7B">
        <w:t>:</w:t>
      </w:r>
      <w:r w:rsidR="00C20580" w:rsidRPr="00535B7B">
        <w:t xml:space="preserve"> </w:t>
      </w:r>
      <w:r w:rsidR="00614997" w:rsidRPr="00535B7B">
        <w:t>“</w:t>
      </w:r>
      <w:r w:rsidR="009C23B6" w:rsidRPr="00535B7B">
        <w:rPr>
          <w:i/>
          <w:iCs/>
        </w:rPr>
        <w:t>During the development of the RESPs the licensee must maintain the confidentiality of any Intelligence provided to it by a stakeholder.</w:t>
      </w:r>
      <w:r w:rsidR="00614997" w:rsidRPr="00535B7B">
        <w:rPr>
          <w:i/>
          <w:iCs/>
        </w:rPr>
        <w:t>”</w:t>
      </w:r>
    </w:p>
    <w:p w14:paraId="6F0A2FA8" w14:textId="77777777" w:rsidR="007C2DCB" w:rsidRPr="00535B7B" w:rsidRDefault="007C2DCB" w:rsidP="00452551"/>
    <w:p w14:paraId="1B2B717F" w14:textId="2EF768FB" w:rsidR="00614997" w:rsidRPr="00535B7B" w:rsidRDefault="00614997" w:rsidP="00806F69">
      <w:r w:rsidRPr="00535B7B">
        <w:t>In certain circumstances we accept that some</w:t>
      </w:r>
      <w:r w:rsidR="00024A63" w:rsidRPr="00535B7B">
        <w:t xml:space="preserve"> </w:t>
      </w:r>
      <w:r w:rsidRPr="00535B7B">
        <w:t xml:space="preserve">data may be </w:t>
      </w:r>
      <w:r w:rsidR="00F333CC" w:rsidRPr="00535B7B">
        <w:t>confidential</w:t>
      </w:r>
      <w:r w:rsidR="009E7353" w:rsidRPr="00535B7B">
        <w:t xml:space="preserve"> (for instance </w:t>
      </w:r>
      <w:r w:rsidR="004D1DD7" w:rsidRPr="00535B7B">
        <w:t xml:space="preserve">some </w:t>
      </w:r>
      <w:r w:rsidR="009E7353" w:rsidRPr="00535B7B">
        <w:t xml:space="preserve">detailed data on gas or electricity networks may be </w:t>
      </w:r>
      <w:r w:rsidR="004D1DD7" w:rsidRPr="00535B7B">
        <w:t>confidential for security purposes</w:t>
      </w:r>
      <w:r w:rsidR="00E74C91" w:rsidRPr="00535B7B">
        <w:t xml:space="preserve">, or emerging spatial plan requirements may be </w:t>
      </w:r>
      <w:r w:rsidR="008B0AAA" w:rsidRPr="00535B7B">
        <w:t>relatively firm but not yet public</w:t>
      </w:r>
      <w:r w:rsidR="004D1DD7" w:rsidRPr="00535B7B">
        <w:t>)</w:t>
      </w:r>
      <w:r w:rsidR="00F333CC" w:rsidRPr="00535B7B">
        <w:t xml:space="preserve">, but </w:t>
      </w:r>
      <w:r w:rsidR="00806F69" w:rsidRPr="00535B7B">
        <w:t xml:space="preserve">the clause </w:t>
      </w:r>
      <w:r w:rsidR="00A0602E" w:rsidRPr="00535B7B">
        <w:t>would</w:t>
      </w:r>
      <w:r w:rsidR="00F333CC" w:rsidRPr="00535B7B">
        <w:t xml:space="preserve"> </w:t>
      </w:r>
      <w:r w:rsidR="00363BA2" w:rsidRPr="00535B7B">
        <w:t>make all stakeholder intelligence confidential</w:t>
      </w:r>
      <w:r w:rsidR="00FC2E1A" w:rsidRPr="00535B7B">
        <w:t xml:space="preserve"> </w:t>
      </w:r>
      <w:r w:rsidR="00F333CC" w:rsidRPr="00535B7B">
        <w:t>significantly undermin</w:t>
      </w:r>
      <w:r w:rsidR="004A7AD0" w:rsidRPr="00535B7B">
        <w:t>ing</w:t>
      </w:r>
      <w:r w:rsidR="00F333CC" w:rsidRPr="00535B7B">
        <w:t xml:space="preserve"> </w:t>
      </w:r>
      <w:r w:rsidR="00557DFE" w:rsidRPr="00535B7B">
        <w:t xml:space="preserve">legitimate public scrutiny of RESP and </w:t>
      </w:r>
      <w:r w:rsidR="00A0602E" w:rsidRPr="00535B7B">
        <w:t xml:space="preserve">of </w:t>
      </w:r>
      <w:r w:rsidR="00557DFE" w:rsidRPr="00535B7B">
        <w:t>stakeholder’s inputs</w:t>
      </w:r>
      <w:r w:rsidR="00FC2E1A" w:rsidRPr="00535B7B">
        <w:t xml:space="preserve">. </w:t>
      </w:r>
      <w:r w:rsidR="00F522F3" w:rsidRPr="00535B7B">
        <w:t xml:space="preserve">The clause does not appear to align with the draft RESP guidance </w:t>
      </w:r>
      <w:r w:rsidR="008256DB" w:rsidRPr="00535B7B">
        <w:t xml:space="preserve">(para 10.3) </w:t>
      </w:r>
      <w:r w:rsidR="0089651B" w:rsidRPr="00535B7B">
        <w:t xml:space="preserve">which sets out a more pragmatic </w:t>
      </w:r>
      <w:r w:rsidR="00FD3142" w:rsidRPr="00535B7B">
        <w:t>approach and</w:t>
      </w:r>
      <w:r w:rsidR="0089651B" w:rsidRPr="00535B7B">
        <w:t xml:space="preserve"> should therefore be revised. </w:t>
      </w:r>
      <w:r w:rsidR="001C382A" w:rsidRPr="00535B7B">
        <w:t xml:space="preserve">There should be a presumption that </w:t>
      </w:r>
      <w:r w:rsidR="00A706D8" w:rsidRPr="00535B7B">
        <w:t>inputs to the RESP process should be public and transparent</w:t>
      </w:r>
      <w:r w:rsidR="0095190B" w:rsidRPr="00535B7B">
        <w:t xml:space="preserve"> to allow necessary scrutiny</w:t>
      </w:r>
      <w:r w:rsidR="00A706D8" w:rsidRPr="00535B7B">
        <w:t>.</w:t>
      </w:r>
    </w:p>
    <w:p w14:paraId="2A77B2BA" w14:textId="77777777" w:rsidR="00C20580" w:rsidRPr="00535B7B" w:rsidRDefault="00C20580" w:rsidP="00452551"/>
    <w:p w14:paraId="3149CCE1" w14:textId="59541806" w:rsidR="00452551" w:rsidRPr="00535B7B" w:rsidRDefault="00452551" w:rsidP="00452551">
      <w:r w:rsidRPr="00535B7B">
        <w:t>Our view is that Strategic Boards should provide oversight, facilitate transparency and help steer and shape plan</w:t>
      </w:r>
      <w:r w:rsidR="004825DF" w:rsidRPr="00535B7B">
        <w:t>s</w:t>
      </w:r>
      <w:r w:rsidRPr="00535B7B">
        <w:t xml:space="preserve"> – but not sign </w:t>
      </w:r>
      <w:r w:rsidR="004825DF" w:rsidRPr="00535B7B">
        <w:t xml:space="preserve">them </w:t>
      </w:r>
      <w:r w:rsidRPr="00535B7B">
        <w:t xml:space="preserve">off. The ultimate decision maker should be NESO with any discrepancies between the proposed plans and the guidance of the board being transparently documented. </w:t>
      </w:r>
      <w:r w:rsidR="00F62DD6">
        <w:t>W</w:t>
      </w:r>
      <w:r w:rsidR="00372A73" w:rsidRPr="00535B7B">
        <w:t>ith the signoff process</w:t>
      </w:r>
      <w:r w:rsidR="008B0AAA" w:rsidRPr="00535B7B">
        <w:t xml:space="preserve"> proposed</w:t>
      </w:r>
      <w:r w:rsidR="004E68E7" w:rsidRPr="00535B7B">
        <w:t>,</w:t>
      </w:r>
      <w:r w:rsidR="00372A73" w:rsidRPr="00535B7B">
        <w:t xml:space="preserve"> </w:t>
      </w:r>
      <w:r w:rsidR="00D00540" w:rsidRPr="00535B7B">
        <w:t xml:space="preserve">organisations with a vested interest may </w:t>
      </w:r>
      <w:r w:rsidR="00172E5F" w:rsidRPr="00535B7B">
        <w:t xml:space="preserve">seek to </w:t>
      </w:r>
      <w:r w:rsidR="00A518D0" w:rsidRPr="00535B7B">
        <w:t>frustrate</w:t>
      </w:r>
      <w:r w:rsidR="00BB1694" w:rsidRPr="00535B7B">
        <w:t xml:space="preserve"> </w:t>
      </w:r>
      <w:r w:rsidR="00FC1FE1" w:rsidRPr="00535B7B">
        <w:t>the RESP process</w:t>
      </w:r>
      <w:r w:rsidR="00C273FD" w:rsidRPr="00535B7B">
        <w:t xml:space="preserve">, resulting in plans which </w:t>
      </w:r>
      <w:r w:rsidR="00023713" w:rsidRPr="00535B7B">
        <w:t xml:space="preserve">may </w:t>
      </w:r>
      <w:r w:rsidR="00C273FD" w:rsidRPr="00535B7B">
        <w:t>not align with net zero or accelerate the transition</w:t>
      </w:r>
      <w:r w:rsidR="00023713" w:rsidRPr="00535B7B">
        <w:t xml:space="preserve"> to net zero</w:t>
      </w:r>
      <w:r w:rsidR="005C095F">
        <w:t xml:space="preserve"> or be best value to consumers</w:t>
      </w:r>
      <w:r w:rsidR="00536466" w:rsidRPr="00535B7B">
        <w:t xml:space="preserve">. </w:t>
      </w:r>
      <w:r w:rsidR="00FC1FE1" w:rsidRPr="00535B7B">
        <w:t xml:space="preserve"> </w:t>
      </w:r>
      <w:r w:rsidR="000008C6" w:rsidRPr="00535B7B">
        <w:t>If th</w:t>
      </w:r>
      <w:r w:rsidR="00375B28">
        <w:t>ese</w:t>
      </w:r>
      <w:r w:rsidR="000008C6" w:rsidRPr="00535B7B">
        <w:t xml:space="preserve"> objective</w:t>
      </w:r>
      <w:r w:rsidR="00375B28">
        <w:t>s</w:t>
      </w:r>
      <w:r w:rsidR="000008C6" w:rsidRPr="00535B7B">
        <w:t xml:space="preserve"> </w:t>
      </w:r>
      <w:r w:rsidR="00375B28">
        <w:t>are</w:t>
      </w:r>
      <w:r w:rsidR="00375B28" w:rsidRPr="00535B7B">
        <w:t xml:space="preserve">n’t </w:t>
      </w:r>
      <w:r w:rsidR="000008C6" w:rsidRPr="00535B7B">
        <w:t xml:space="preserve">achieved, RESPs will have </w:t>
      </w:r>
      <w:r w:rsidR="003E2C90">
        <w:t>limited</w:t>
      </w:r>
      <w:r w:rsidR="003E2C90" w:rsidRPr="00535B7B">
        <w:t xml:space="preserve"> </w:t>
      </w:r>
      <w:r w:rsidR="000008C6" w:rsidRPr="00535B7B">
        <w:t>value.</w:t>
      </w:r>
    </w:p>
    <w:p w14:paraId="50BE582E" w14:textId="77777777" w:rsidR="00452551" w:rsidRPr="00535B7B" w:rsidRDefault="00452551"/>
    <w:p w14:paraId="2AC395B1" w14:textId="77777777" w:rsidR="004F5EE8" w:rsidRPr="00535B7B" w:rsidRDefault="004F5EE8"/>
    <w:p w14:paraId="7938F21B" w14:textId="1297AC90" w:rsidR="00375BD2" w:rsidRPr="00535B7B" w:rsidRDefault="00671289" w:rsidP="0056161F">
      <w:pPr>
        <w:pStyle w:val="Heading1"/>
      </w:pPr>
      <w:r w:rsidRPr="00535B7B">
        <w:t>Q</w:t>
      </w:r>
      <w:proofErr w:type="gramStart"/>
      <w:r w:rsidRPr="00535B7B">
        <w:t>3.Do</w:t>
      </w:r>
      <w:proofErr w:type="gramEnd"/>
      <w:r w:rsidRPr="00535B7B">
        <w:t xml:space="preserve"> you agree that the content of the RESP Guidance, as set out in paragraph 2.19, adequately defines the expectations for NESO in their development of the RESP? Please provide the reasons and any alternative suggestions if you disagree.</w:t>
      </w:r>
    </w:p>
    <w:p w14:paraId="476FBF22" w14:textId="77777777" w:rsidR="00CD491A" w:rsidRPr="00535B7B" w:rsidRDefault="00CD491A"/>
    <w:p w14:paraId="2BAD3C80" w14:textId="6FC16D85" w:rsidR="00F47C3D" w:rsidRPr="00535B7B" w:rsidRDefault="00F47C3D">
      <w:r w:rsidRPr="00535B7B">
        <w:t>Yes.</w:t>
      </w:r>
    </w:p>
    <w:p w14:paraId="3541A813" w14:textId="77777777" w:rsidR="00CD491A" w:rsidRPr="00535B7B" w:rsidRDefault="00CD491A"/>
    <w:p w14:paraId="1D2B895D" w14:textId="77777777" w:rsidR="00CD491A" w:rsidRPr="00535B7B" w:rsidRDefault="00CD491A" w:rsidP="0056161F">
      <w:pPr>
        <w:pStyle w:val="Heading1"/>
      </w:pPr>
      <w:r w:rsidRPr="00535B7B">
        <w:lastRenderedPageBreak/>
        <w:t>Q</w:t>
      </w:r>
      <w:proofErr w:type="gramStart"/>
      <w:r w:rsidRPr="00535B7B">
        <w:t>4.Do</w:t>
      </w:r>
      <w:proofErr w:type="gramEnd"/>
      <w:r w:rsidRPr="00535B7B">
        <w:t xml:space="preserve"> you agree that the new definitions as set out in paragraphs 3.7 – 3.12 adequately reflect the policy intent of the RESP? Please provide the reasons and any alternative suggestions if you disagree. </w:t>
      </w:r>
    </w:p>
    <w:p w14:paraId="2EF56E37" w14:textId="00B1AEC3" w:rsidR="00CD491A" w:rsidRPr="00535B7B" w:rsidRDefault="002F0995">
      <w:pPr>
        <w:rPr>
          <w:szCs w:val="22"/>
        </w:rPr>
      </w:pPr>
      <w:r w:rsidRPr="00535B7B">
        <w:rPr>
          <w:szCs w:val="22"/>
        </w:rPr>
        <w:t>Yes.</w:t>
      </w:r>
    </w:p>
    <w:p w14:paraId="3223F143" w14:textId="77777777" w:rsidR="00CD491A" w:rsidRPr="00535B7B" w:rsidRDefault="00CD491A">
      <w:pPr>
        <w:rPr>
          <w:szCs w:val="22"/>
        </w:rPr>
      </w:pPr>
    </w:p>
    <w:p w14:paraId="0B31681D" w14:textId="77777777" w:rsidR="00CD491A" w:rsidRPr="00535B7B" w:rsidRDefault="00CD491A" w:rsidP="0056161F">
      <w:pPr>
        <w:pStyle w:val="Heading1"/>
      </w:pPr>
      <w:r w:rsidRPr="00535B7B">
        <w:t>Q</w:t>
      </w:r>
      <w:proofErr w:type="gramStart"/>
      <w:r w:rsidRPr="00535B7B">
        <w:t>5.Do</w:t>
      </w:r>
      <w:proofErr w:type="gramEnd"/>
      <w:r w:rsidRPr="00535B7B">
        <w:t xml:space="preserve"> you agree that the new licence text, as set out in Annexes C and D, adequately reflects the policy intent of the RESP? Please provide the reasons and any alternative suggestions if you disagree. </w:t>
      </w:r>
    </w:p>
    <w:p w14:paraId="567367E9" w14:textId="77777777" w:rsidR="00CD491A" w:rsidRPr="00535B7B" w:rsidRDefault="00CD491A">
      <w:pPr>
        <w:rPr>
          <w:szCs w:val="22"/>
        </w:rPr>
      </w:pPr>
    </w:p>
    <w:p w14:paraId="0DF950EB" w14:textId="02370550" w:rsidR="0003033A" w:rsidRPr="00535B7B" w:rsidRDefault="0003033A">
      <w:pPr>
        <w:rPr>
          <w:szCs w:val="22"/>
        </w:rPr>
      </w:pPr>
      <w:r w:rsidRPr="00535B7B">
        <w:rPr>
          <w:szCs w:val="22"/>
        </w:rPr>
        <w:t>Yes.</w:t>
      </w:r>
    </w:p>
    <w:p w14:paraId="034356A1" w14:textId="77777777" w:rsidR="00CD491A" w:rsidRPr="00535B7B" w:rsidRDefault="00CD491A">
      <w:pPr>
        <w:rPr>
          <w:szCs w:val="22"/>
        </w:rPr>
      </w:pPr>
    </w:p>
    <w:p w14:paraId="116D1828" w14:textId="24664A76" w:rsidR="00CD491A" w:rsidRPr="00535B7B" w:rsidRDefault="00CD491A" w:rsidP="0056161F">
      <w:pPr>
        <w:pStyle w:val="Heading1"/>
      </w:pPr>
      <w:r w:rsidRPr="00535B7B">
        <w:t>Q</w:t>
      </w:r>
      <w:proofErr w:type="gramStart"/>
      <w:r w:rsidRPr="00535B7B">
        <w:t>6.Do</w:t>
      </w:r>
      <w:proofErr w:type="gramEnd"/>
      <w:r w:rsidRPr="00535B7B">
        <w:t xml:space="preserve"> you agree with our reasoning in paragraph 3.15 to use ‘best endeavours’ in the licence condition in Annexes C and D? Please provide the reasons and any alternative suggestions if you disagree. </w:t>
      </w:r>
    </w:p>
    <w:p w14:paraId="57842D54" w14:textId="77777777" w:rsidR="00CD491A" w:rsidRPr="00535B7B" w:rsidRDefault="00CD491A">
      <w:pPr>
        <w:rPr>
          <w:szCs w:val="22"/>
        </w:rPr>
      </w:pPr>
    </w:p>
    <w:p w14:paraId="0ADC76A3" w14:textId="0FD44BAC" w:rsidR="00B9201A" w:rsidRPr="00535B7B" w:rsidRDefault="00B9201A">
      <w:pPr>
        <w:rPr>
          <w:szCs w:val="22"/>
        </w:rPr>
      </w:pPr>
      <w:r w:rsidRPr="00535B7B">
        <w:rPr>
          <w:szCs w:val="22"/>
        </w:rPr>
        <w:t>Yes.</w:t>
      </w:r>
    </w:p>
    <w:p w14:paraId="4D0FBCF3" w14:textId="77777777" w:rsidR="00B9201A" w:rsidRPr="00535B7B" w:rsidRDefault="00B9201A">
      <w:pPr>
        <w:rPr>
          <w:szCs w:val="22"/>
        </w:rPr>
      </w:pPr>
    </w:p>
    <w:p w14:paraId="627F837E" w14:textId="1D944B85" w:rsidR="00312564" w:rsidRPr="00535B7B" w:rsidRDefault="00CD491A" w:rsidP="0056161F">
      <w:pPr>
        <w:pStyle w:val="Heading1"/>
      </w:pPr>
      <w:r w:rsidRPr="00535B7B">
        <w:t>Q</w:t>
      </w:r>
      <w:proofErr w:type="gramStart"/>
      <w:r w:rsidRPr="00535B7B">
        <w:t>7.Do</w:t>
      </w:r>
      <w:proofErr w:type="gramEnd"/>
      <w:r w:rsidRPr="00535B7B">
        <w:t xml:space="preserve"> you agree that the content of the RESP Guidance, as set out in paragraph 3.21, adequately defines the expectations for GDNs and DNOs in their participation of the RESP? Please provide the reasons and any alternative suggestions if you disagree.</w:t>
      </w:r>
    </w:p>
    <w:p w14:paraId="6A7EFDED" w14:textId="77777777" w:rsidR="00382D8A" w:rsidRPr="00535B7B" w:rsidRDefault="00382D8A"/>
    <w:p w14:paraId="547FC04B" w14:textId="77777777" w:rsidR="00A01584" w:rsidRPr="00535B7B" w:rsidRDefault="00382D8A">
      <w:r w:rsidRPr="00535B7B">
        <w:t>Yes.</w:t>
      </w:r>
    </w:p>
    <w:p w14:paraId="0AB320B5" w14:textId="77777777" w:rsidR="0057178E" w:rsidRPr="00535B7B" w:rsidRDefault="0057178E" w:rsidP="00452F3B"/>
    <w:p w14:paraId="0CBF736D" w14:textId="3828A79E" w:rsidR="0057178E" w:rsidRPr="00535B7B" w:rsidRDefault="0057178E" w:rsidP="0057178E">
      <w:pPr>
        <w:pStyle w:val="Heading1"/>
        <w:rPr>
          <w:sz w:val="30"/>
          <w:szCs w:val="30"/>
          <w:u w:val="single"/>
        </w:rPr>
      </w:pPr>
      <w:r w:rsidRPr="00535B7B">
        <w:rPr>
          <w:sz w:val="30"/>
          <w:szCs w:val="30"/>
          <w:u w:val="single"/>
        </w:rPr>
        <w:t>Feedback on Draft RESP Guidance</w:t>
      </w:r>
    </w:p>
    <w:p w14:paraId="0D6CCCE3" w14:textId="77777777" w:rsidR="00A01584" w:rsidRPr="00535B7B" w:rsidRDefault="00A01584" w:rsidP="00A01584"/>
    <w:p w14:paraId="21FCD6F1" w14:textId="22254685" w:rsidR="00A01584" w:rsidRPr="00535B7B" w:rsidRDefault="00365C7C" w:rsidP="00843A8D">
      <w:pPr>
        <w:pStyle w:val="Heading1"/>
      </w:pPr>
      <w:r w:rsidRPr="00535B7B">
        <w:t xml:space="preserve">Q1. </w:t>
      </w:r>
      <w:r w:rsidR="00A01584" w:rsidRPr="00535B7B">
        <w:t xml:space="preserve">Do you agree that we have, to a reasonable extent, captured the expectations of NESO in the delivery of the RESP? </w:t>
      </w:r>
    </w:p>
    <w:p w14:paraId="212066D5" w14:textId="77777777" w:rsidR="00A77E64" w:rsidRPr="00535B7B" w:rsidRDefault="00A77E64" w:rsidP="00A77E64"/>
    <w:p w14:paraId="3375DB5C" w14:textId="42E99649" w:rsidR="00843A8D" w:rsidRPr="00535B7B" w:rsidRDefault="00402E0F" w:rsidP="00843A8D">
      <w:r w:rsidRPr="00535B7B">
        <w:t>Yes, in part.</w:t>
      </w:r>
    </w:p>
    <w:p w14:paraId="725BB2DC" w14:textId="77777777" w:rsidR="00402E0F" w:rsidRPr="00535B7B" w:rsidRDefault="00402E0F" w:rsidP="00843A8D"/>
    <w:p w14:paraId="7BCE910C" w14:textId="2BED49B8" w:rsidR="00A01584" w:rsidRPr="00535B7B" w:rsidRDefault="00EF16DE" w:rsidP="00A01584">
      <w:r w:rsidRPr="00535B7B">
        <w:t>The draft guidance states that t</w:t>
      </w:r>
      <w:r w:rsidR="00A01584" w:rsidRPr="00535B7B">
        <w:t xml:space="preserve">he purpose of the RESP will be </w:t>
      </w:r>
      <w:r w:rsidRPr="00535B7B">
        <w:rPr>
          <w:i/>
          <w:iCs/>
        </w:rPr>
        <w:t>“</w:t>
      </w:r>
      <w:r w:rsidR="00A01584" w:rsidRPr="00535B7B">
        <w:rPr>
          <w:i/>
          <w:iCs/>
        </w:rPr>
        <w:t>to develop a strategic view of the future of the energy system at a sub-national level and set the direction of distribution network upgrades</w:t>
      </w:r>
      <w:r w:rsidR="006B699F" w:rsidRPr="00535B7B">
        <w:rPr>
          <w:i/>
          <w:iCs/>
        </w:rPr>
        <w:t>.”</w:t>
      </w:r>
      <w:r w:rsidR="00ED20C5" w:rsidRPr="00535B7B">
        <w:t xml:space="preserve"> </w:t>
      </w:r>
      <w:r w:rsidR="00F06887" w:rsidRPr="00535B7B">
        <w:t>This is too general.</w:t>
      </w:r>
      <w:r w:rsidRPr="00535B7B">
        <w:t xml:space="preserve"> The guidance should </w:t>
      </w:r>
      <w:r w:rsidR="00A96618">
        <w:t>also</w:t>
      </w:r>
      <w:r w:rsidRPr="00535B7B">
        <w:t xml:space="preserve"> be explicit that </w:t>
      </w:r>
      <w:r w:rsidR="004E3F89" w:rsidRPr="00535B7B">
        <w:t xml:space="preserve">it should set the direction of distribution network upgrades </w:t>
      </w:r>
      <w:r w:rsidR="00831942" w:rsidRPr="00535B7B">
        <w:rPr>
          <w:i/>
          <w:iCs/>
          <w:u w:val="single"/>
        </w:rPr>
        <w:t xml:space="preserve">compatible with achieving </w:t>
      </w:r>
      <w:r w:rsidR="004E3F89" w:rsidRPr="00535B7B">
        <w:rPr>
          <w:i/>
          <w:iCs/>
          <w:u w:val="single"/>
        </w:rPr>
        <w:t>net zero</w:t>
      </w:r>
      <w:r w:rsidR="004E3F89" w:rsidRPr="00535B7B">
        <w:t>.</w:t>
      </w:r>
    </w:p>
    <w:p w14:paraId="76C88AF0" w14:textId="77777777" w:rsidR="009E5066" w:rsidRPr="00535B7B" w:rsidRDefault="009E5066" w:rsidP="00A01584"/>
    <w:p w14:paraId="3D084681" w14:textId="2F5BE03C" w:rsidR="00A431B1" w:rsidRPr="00535B7B" w:rsidRDefault="00DC57E3" w:rsidP="00A431B1">
      <w:r w:rsidRPr="00535B7B">
        <w:t>At paragraph 2.4 t</w:t>
      </w:r>
      <w:r w:rsidR="009E5066" w:rsidRPr="00535B7B">
        <w:t xml:space="preserve">he guidance defines </w:t>
      </w:r>
      <w:r w:rsidR="00135189" w:rsidRPr="00535B7B">
        <w:t xml:space="preserve">a whole system approach as </w:t>
      </w:r>
      <w:r w:rsidR="00135189" w:rsidRPr="00535B7B">
        <w:rPr>
          <w:i/>
          <w:iCs/>
        </w:rPr>
        <w:t>“</w:t>
      </w:r>
      <w:r w:rsidR="009E5066" w:rsidRPr="00535B7B">
        <w:rPr>
          <w:i/>
          <w:iCs/>
        </w:rPr>
        <w:t xml:space="preserve">an approach that takes a comprehensive view of the factors which materially influence </w:t>
      </w:r>
      <w:r w:rsidR="009E5066" w:rsidRPr="00535B7B">
        <w:t>energy supply and demand in a region.</w:t>
      </w:r>
      <w:r w:rsidR="00135189" w:rsidRPr="00535B7B">
        <w:t>”</w:t>
      </w:r>
      <w:r w:rsidR="00B97478" w:rsidRPr="00535B7B">
        <w:t xml:space="preserve">  </w:t>
      </w:r>
      <w:r w:rsidRPr="00535B7B">
        <w:t xml:space="preserve"> </w:t>
      </w:r>
      <w:r w:rsidR="00150A2A" w:rsidRPr="00535B7B">
        <w:t>T</w:t>
      </w:r>
      <w:r w:rsidRPr="00535B7B">
        <w:t xml:space="preserve">he guidance should be more explicit </w:t>
      </w:r>
      <w:r w:rsidR="00150A2A" w:rsidRPr="00535B7B">
        <w:t xml:space="preserve">at paragraphs 2.4 and 2.5 </w:t>
      </w:r>
      <w:r w:rsidR="007E75E5" w:rsidRPr="00535B7B">
        <w:t xml:space="preserve">that the whole system approach should include </w:t>
      </w:r>
      <w:r w:rsidR="00A431B1" w:rsidRPr="00535B7B">
        <w:t xml:space="preserve">and link </w:t>
      </w:r>
      <w:r w:rsidR="00C2092F" w:rsidRPr="00535B7B">
        <w:t xml:space="preserve">the following </w:t>
      </w:r>
      <w:r w:rsidR="00A431B1" w:rsidRPr="00535B7B">
        <w:t>different energy vectors</w:t>
      </w:r>
      <w:r w:rsidR="00373D1C" w:rsidRPr="00535B7B">
        <w:t>:</w:t>
      </w:r>
      <w:r w:rsidR="00A431B1" w:rsidRPr="00535B7B">
        <w:t xml:space="preserve"> gas, electricity, heat, transport, industry</w:t>
      </w:r>
      <w:r w:rsidR="00C2092F" w:rsidRPr="00535B7B">
        <w:t xml:space="preserve">. </w:t>
      </w:r>
    </w:p>
    <w:p w14:paraId="42A66F3F" w14:textId="77777777" w:rsidR="00C2092F" w:rsidRPr="00535B7B" w:rsidRDefault="00C2092F" w:rsidP="00A431B1"/>
    <w:p w14:paraId="53F79200" w14:textId="01D246C3" w:rsidR="00F35F5B" w:rsidRPr="00535B7B" w:rsidRDefault="00F35F5B" w:rsidP="00A431B1">
      <w:pPr>
        <w:rPr>
          <w:b/>
          <w:bCs/>
        </w:rPr>
      </w:pPr>
      <w:r w:rsidRPr="00535B7B">
        <w:rPr>
          <w:b/>
          <w:bCs/>
        </w:rPr>
        <w:t xml:space="preserve">Place-based engagement and support for local authorities – paras 2.13 </w:t>
      </w:r>
      <w:r w:rsidR="00611ADC" w:rsidRPr="00535B7B">
        <w:rPr>
          <w:b/>
          <w:bCs/>
        </w:rPr>
        <w:t>–</w:t>
      </w:r>
      <w:r w:rsidRPr="00535B7B">
        <w:rPr>
          <w:b/>
          <w:bCs/>
        </w:rPr>
        <w:t xml:space="preserve"> </w:t>
      </w:r>
      <w:r w:rsidR="00611ADC" w:rsidRPr="00535B7B">
        <w:rPr>
          <w:b/>
          <w:bCs/>
        </w:rPr>
        <w:t>2.15</w:t>
      </w:r>
    </w:p>
    <w:p w14:paraId="075085AC" w14:textId="77777777" w:rsidR="00F35F5B" w:rsidRPr="00535B7B" w:rsidRDefault="00F35F5B" w:rsidP="00B54D15"/>
    <w:p w14:paraId="7F745778" w14:textId="3F930C6D" w:rsidR="004529E4" w:rsidRPr="00535B7B" w:rsidRDefault="00671F0D" w:rsidP="00B54D15">
      <w:r w:rsidRPr="00535B7B">
        <w:t xml:space="preserve">We support </w:t>
      </w:r>
      <w:r w:rsidR="00271809" w:rsidRPr="00535B7B">
        <w:t xml:space="preserve">the approach to </w:t>
      </w:r>
      <w:r w:rsidR="009E6338" w:rsidRPr="00535B7B">
        <w:t>place-based</w:t>
      </w:r>
      <w:r w:rsidR="00271809" w:rsidRPr="00535B7B">
        <w:t xml:space="preserve"> engagement and support for local authorities. </w:t>
      </w:r>
      <w:r w:rsidR="009E6338" w:rsidRPr="00535B7B">
        <w:t xml:space="preserve">Local </w:t>
      </w:r>
      <w:r w:rsidR="007F6370" w:rsidRPr="00535B7B">
        <w:t>authorities vary hugely in the</w:t>
      </w:r>
      <w:r w:rsidR="0087010F" w:rsidRPr="00535B7B">
        <w:t>ir</w:t>
      </w:r>
      <w:r w:rsidR="007F6370" w:rsidRPr="00535B7B">
        <w:t xml:space="preserve"> capacity and expertise to engage with </w:t>
      </w:r>
      <w:r w:rsidR="0087010F" w:rsidRPr="00535B7B">
        <w:t xml:space="preserve">the RESP process. </w:t>
      </w:r>
      <w:r w:rsidR="002155F1" w:rsidRPr="00535B7B">
        <w:t>Support will be vital to secure their engagement</w:t>
      </w:r>
      <w:r w:rsidR="006B19AD" w:rsidRPr="00535B7B">
        <w:t xml:space="preserve">, but NESO will </w:t>
      </w:r>
      <w:r w:rsidR="00545BDF" w:rsidRPr="00535B7B">
        <w:t xml:space="preserve">need to provide additional resources and measures to help reduce the </w:t>
      </w:r>
      <w:r w:rsidR="00545BDF" w:rsidRPr="00535B7B">
        <w:lastRenderedPageBreak/>
        <w:t>gap between well-resourced and under-resourced local authorities.</w:t>
      </w:r>
      <w:r w:rsidR="005B5F3F" w:rsidRPr="00535B7B">
        <w:t xml:space="preserve"> Ensuring equitable engagement from both well-resourced and less advanced areas is essential to delivering a just transition.</w:t>
      </w:r>
      <w:r w:rsidR="00153E32" w:rsidRPr="00535B7B">
        <w:t xml:space="preserve"> </w:t>
      </w:r>
    </w:p>
    <w:p w14:paraId="1DA15759" w14:textId="77777777" w:rsidR="00087A2F" w:rsidRPr="00535B7B" w:rsidRDefault="00087A2F" w:rsidP="00B54D15"/>
    <w:p w14:paraId="225B1495" w14:textId="4F0F3D7B" w:rsidR="00B54D15" w:rsidRPr="00535B7B" w:rsidRDefault="00A62745" w:rsidP="00B54D15">
      <w:r w:rsidRPr="00535B7B">
        <w:t xml:space="preserve">We welcome the creation of RESP regional teams. </w:t>
      </w:r>
      <w:r w:rsidR="008C4426" w:rsidRPr="008C4426">
        <w:t xml:space="preserve">As an initial step, we recommend they undertake a baselining exercise </w:t>
      </w:r>
      <w:r w:rsidR="00C56E67">
        <w:t xml:space="preserve">(drawing on the work DNOs and DSOs have already done to </w:t>
      </w:r>
      <w:r w:rsidR="00B8082D">
        <w:t xml:space="preserve">benchmark and engage local authorities) </w:t>
      </w:r>
      <w:r w:rsidR="008C4426" w:rsidRPr="008C4426">
        <w:t xml:space="preserve">to assess the capabilities of </w:t>
      </w:r>
      <w:r w:rsidR="00FE0CF5">
        <w:t>different</w:t>
      </w:r>
      <w:r w:rsidR="00FE0CF5" w:rsidRPr="008C4426">
        <w:t xml:space="preserve"> </w:t>
      </w:r>
      <w:r w:rsidR="008C4426" w:rsidRPr="008C4426">
        <w:t xml:space="preserve">local authorities </w:t>
      </w:r>
      <w:r w:rsidR="00FE0CF5">
        <w:t>to</w:t>
      </w:r>
      <w:r w:rsidR="008C4426" w:rsidRPr="008C4426">
        <w:t xml:space="preserve"> engag</w:t>
      </w:r>
      <w:r w:rsidR="00FE0CF5">
        <w:t>e</w:t>
      </w:r>
      <w:r w:rsidR="008C4426" w:rsidRPr="008C4426">
        <w:t xml:space="preserve"> with energy system planning, and to identify the nature and level of support required.</w:t>
      </w:r>
      <w:r w:rsidR="008C4426">
        <w:t xml:space="preserve"> </w:t>
      </w:r>
      <w:r w:rsidRPr="00535B7B">
        <w:t xml:space="preserve">They may need to provide </w:t>
      </w:r>
      <w:r w:rsidR="00071350" w:rsidRPr="00535B7B">
        <w:t xml:space="preserve">in-depth </w:t>
      </w:r>
      <w:r w:rsidRPr="00535B7B">
        <w:t xml:space="preserve">training </w:t>
      </w:r>
      <w:r w:rsidR="00071350" w:rsidRPr="00535B7B">
        <w:t xml:space="preserve">and support </w:t>
      </w:r>
      <w:r w:rsidR="00DC5311" w:rsidRPr="00535B7B">
        <w:t xml:space="preserve">to enable them to </w:t>
      </w:r>
      <w:r w:rsidR="00071350" w:rsidRPr="00535B7B">
        <w:t>engage</w:t>
      </w:r>
      <w:r w:rsidR="006B699F" w:rsidRPr="00535B7B">
        <w:t xml:space="preserve">. </w:t>
      </w:r>
      <w:r w:rsidR="00B54D15" w:rsidRPr="00535B7B">
        <w:t>At present Town Planners are not required to have any detailed engagement with energy system planning, and consequently knowledge levels are variable.</w:t>
      </w:r>
      <w:r w:rsidR="001363E5" w:rsidRPr="00535B7B">
        <w:t xml:space="preserve"> </w:t>
      </w:r>
      <w:r w:rsidR="008C4426" w:rsidRPr="00535B7B">
        <w:t>Additionally,</w:t>
      </w:r>
      <w:r w:rsidR="00B301C5" w:rsidRPr="00535B7B">
        <w:t xml:space="preserve"> where there are gaps in engagement forums and </w:t>
      </w:r>
      <w:r w:rsidR="007F7DC6" w:rsidRPr="00535B7B">
        <w:t>regional partnerships</w:t>
      </w:r>
      <w:r w:rsidR="00B74B92" w:rsidRPr="00535B7B">
        <w:t xml:space="preserve">, </w:t>
      </w:r>
      <w:r w:rsidR="005831CD" w:rsidRPr="00535B7B">
        <w:t xml:space="preserve">NESO </w:t>
      </w:r>
      <w:r w:rsidR="00D852C6" w:rsidRPr="00535B7B">
        <w:t xml:space="preserve">staff should </w:t>
      </w:r>
      <w:r w:rsidR="00A17014" w:rsidRPr="00535B7B">
        <w:t>take proactive action to convene new networks.</w:t>
      </w:r>
    </w:p>
    <w:p w14:paraId="7689F737" w14:textId="77777777" w:rsidR="00B54D15" w:rsidRPr="00535B7B" w:rsidRDefault="00B54D15" w:rsidP="00A431B1"/>
    <w:p w14:paraId="41285B46" w14:textId="77CB2AE1" w:rsidR="00520903" w:rsidRPr="00535B7B" w:rsidRDefault="00B54D15" w:rsidP="00A431B1">
      <w:r w:rsidRPr="00535B7B">
        <w:t xml:space="preserve">In their engagement with senior local authority staff, </w:t>
      </w:r>
      <w:r w:rsidR="00520903" w:rsidRPr="00535B7B">
        <w:t>NESO and its regional teams will need to clearly articulate the purpose and intention of RESP, why it matters to local authorities</w:t>
      </w:r>
      <w:r w:rsidRPr="00535B7B">
        <w:t xml:space="preserve"> and how they will benefit from engaging</w:t>
      </w:r>
      <w:r w:rsidR="00520903" w:rsidRPr="00535B7B">
        <w:t>.</w:t>
      </w:r>
    </w:p>
    <w:p w14:paraId="06523915" w14:textId="77777777" w:rsidR="004C7C19" w:rsidRPr="00535B7B" w:rsidRDefault="004C7C19" w:rsidP="00A431B1"/>
    <w:p w14:paraId="732DB2E2" w14:textId="15465522" w:rsidR="00E46468" w:rsidRPr="00535B7B" w:rsidRDefault="004C7C19" w:rsidP="0008463E">
      <w:r w:rsidRPr="00535B7B">
        <w:t xml:space="preserve">We welcome the statement at 3.16 </w:t>
      </w:r>
      <w:r w:rsidR="00C3012D" w:rsidRPr="00535B7B">
        <w:t>that “the RESP Methodology must ensure that all Pathways will meet the Government’s Net Zero requirements</w:t>
      </w:r>
      <w:r w:rsidR="006B699F" w:rsidRPr="00535B7B">
        <w:t>.”</w:t>
      </w:r>
      <w:r w:rsidR="00880EED" w:rsidRPr="00535B7B">
        <w:t xml:space="preserve"> </w:t>
      </w:r>
      <w:r w:rsidR="00823A21" w:rsidRPr="00535B7B">
        <w:t xml:space="preserve">The methodology should also </w:t>
      </w:r>
      <w:proofErr w:type="gramStart"/>
      <w:r w:rsidR="00823A21" w:rsidRPr="00535B7B">
        <w:t xml:space="preserve">take into </w:t>
      </w:r>
      <w:r w:rsidR="004D0E86" w:rsidRPr="00535B7B">
        <w:t>account</w:t>
      </w:r>
      <w:proofErr w:type="gramEnd"/>
      <w:r w:rsidR="00AC7CE4" w:rsidRPr="00535B7B">
        <w:t xml:space="preserve"> locally established targets </w:t>
      </w:r>
      <w:r w:rsidR="00712BC2" w:rsidRPr="00535B7B">
        <w:t xml:space="preserve">(in climate emergency declarations) set by democratic mandate. </w:t>
      </w:r>
      <w:r w:rsidR="00E46468" w:rsidRPr="00535B7B">
        <w:t xml:space="preserve">As discussed earlier, we would suggest that </w:t>
      </w:r>
      <w:r w:rsidR="00CC051F" w:rsidRPr="00535B7B">
        <w:t xml:space="preserve">further </w:t>
      </w:r>
      <w:r w:rsidR="005B10A3" w:rsidRPr="00535B7B">
        <w:t xml:space="preserve">guidance is set out in respect of </w:t>
      </w:r>
      <w:r w:rsidR="00963621" w:rsidRPr="00535B7B">
        <w:t>short- and long-term</w:t>
      </w:r>
      <w:r w:rsidR="005B10A3" w:rsidRPr="00535B7B">
        <w:t xml:space="preserve"> pathways</w:t>
      </w:r>
      <w:r w:rsidR="00524B65" w:rsidRPr="00535B7B">
        <w:t xml:space="preserve"> and suggest the use of this text or similar: </w:t>
      </w:r>
    </w:p>
    <w:p w14:paraId="673C84DA" w14:textId="77777777" w:rsidR="00524B65" w:rsidRPr="00535B7B" w:rsidRDefault="00524B65" w:rsidP="0008463E"/>
    <w:p w14:paraId="59F4333D" w14:textId="484FF429" w:rsidR="0008463E" w:rsidRPr="00535B7B" w:rsidRDefault="0008463E" w:rsidP="0008463E">
      <w:pPr>
        <w:rPr>
          <w:i/>
          <w:iCs/>
        </w:rPr>
      </w:pPr>
      <w:r w:rsidRPr="00535B7B">
        <w:rPr>
          <w:i/>
          <w:iCs/>
        </w:rPr>
        <w:t>All pathways need to demonstrate how they deliver net zero even if short term pathways don’t deliver full decarbonisation immediately</w:t>
      </w:r>
      <w:r w:rsidR="00A129BC" w:rsidRPr="00535B7B">
        <w:rPr>
          <w:i/>
          <w:iCs/>
        </w:rPr>
        <w:t>.</w:t>
      </w:r>
      <w:r w:rsidRPr="00535B7B">
        <w:rPr>
          <w:i/>
          <w:iCs/>
        </w:rPr>
        <w:t xml:space="preserve"> </w:t>
      </w:r>
      <w:r w:rsidR="00A129BC" w:rsidRPr="00535B7B">
        <w:rPr>
          <w:i/>
          <w:iCs/>
        </w:rPr>
        <w:t>T</w:t>
      </w:r>
      <w:r w:rsidRPr="00535B7B">
        <w:rPr>
          <w:i/>
          <w:iCs/>
        </w:rPr>
        <w:t xml:space="preserve">hey need to show how they </w:t>
      </w:r>
      <w:r w:rsidR="005C121A" w:rsidRPr="00535B7B">
        <w:rPr>
          <w:i/>
          <w:iCs/>
        </w:rPr>
        <w:t xml:space="preserve">are compatible with and contribute towards </w:t>
      </w:r>
      <w:r w:rsidRPr="00535B7B">
        <w:rPr>
          <w:i/>
          <w:iCs/>
        </w:rPr>
        <w:t xml:space="preserve">achieving net zero </w:t>
      </w:r>
      <w:r w:rsidR="00A129BC" w:rsidRPr="00535B7B">
        <w:rPr>
          <w:i/>
          <w:iCs/>
        </w:rPr>
        <w:t xml:space="preserve">in the </w:t>
      </w:r>
      <w:r w:rsidRPr="00535B7B">
        <w:rPr>
          <w:i/>
          <w:iCs/>
        </w:rPr>
        <w:t>longer term e.g. the extent to which gas will be decarbonised in the short term whilst moving away from fossil fuels in the longer-term.</w:t>
      </w:r>
    </w:p>
    <w:p w14:paraId="422ADF97" w14:textId="77777777" w:rsidR="00D60B5B" w:rsidRPr="00535B7B" w:rsidRDefault="00D60B5B" w:rsidP="0008463E">
      <w:pPr>
        <w:rPr>
          <w:i/>
          <w:iCs/>
        </w:rPr>
      </w:pPr>
    </w:p>
    <w:p w14:paraId="135C63E1" w14:textId="2FF56B10" w:rsidR="00BF0B17" w:rsidRPr="00535B7B" w:rsidRDefault="00BF0B17" w:rsidP="0008463E">
      <w:pPr>
        <w:rPr>
          <w:b/>
          <w:bCs/>
        </w:rPr>
      </w:pPr>
      <w:r w:rsidRPr="00535B7B">
        <w:rPr>
          <w:b/>
          <w:bCs/>
        </w:rPr>
        <w:t>Technical Coordination – Para 2.20</w:t>
      </w:r>
    </w:p>
    <w:p w14:paraId="225942E5" w14:textId="77777777" w:rsidR="00BF0B17" w:rsidRPr="00535B7B" w:rsidRDefault="00BF0B17" w:rsidP="0008463E"/>
    <w:p w14:paraId="1C4B3AF4" w14:textId="0AC33DA8" w:rsidR="006D06FE" w:rsidRPr="00535B7B" w:rsidRDefault="006D06FE" w:rsidP="0008463E">
      <w:r w:rsidRPr="00535B7B">
        <w:t xml:space="preserve">As well as </w:t>
      </w:r>
      <w:r w:rsidR="00FD42B5" w:rsidRPr="00535B7B">
        <w:t>setting out the expected role of stakeholders in delivering technical coordination activity, the RESP methodology</w:t>
      </w:r>
      <w:r w:rsidR="001357E3" w:rsidRPr="00535B7B">
        <w:t xml:space="preserve"> </w:t>
      </w:r>
      <w:r w:rsidR="00FC2CD6" w:rsidRPr="00535B7B">
        <w:t>should set out the required capabilities</w:t>
      </w:r>
      <w:r w:rsidR="006220C0" w:rsidRPr="00535B7B">
        <w:t>.</w:t>
      </w:r>
    </w:p>
    <w:p w14:paraId="4EDCE52A" w14:textId="77777777" w:rsidR="00A002CB" w:rsidRPr="00535B7B" w:rsidRDefault="00A002CB" w:rsidP="0008463E">
      <w:pPr>
        <w:rPr>
          <w:b/>
          <w:bCs/>
        </w:rPr>
      </w:pPr>
    </w:p>
    <w:p w14:paraId="5237208D" w14:textId="71B0FFED" w:rsidR="00B63368" w:rsidRPr="00535B7B" w:rsidRDefault="00B63368" w:rsidP="0008463E">
      <w:pPr>
        <w:rPr>
          <w:b/>
          <w:bCs/>
        </w:rPr>
      </w:pPr>
      <w:r w:rsidRPr="00535B7B">
        <w:rPr>
          <w:b/>
          <w:bCs/>
        </w:rPr>
        <w:t xml:space="preserve">Pathways – para </w:t>
      </w:r>
      <w:r w:rsidR="0029181C" w:rsidRPr="00535B7B">
        <w:rPr>
          <w:b/>
          <w:bCs/>
        </w:rPr>
        <w:t>3.14</w:t>
      </w:r>
    </w:p>
    <w:p w14:paraId="7F72590D" w14:textId="77777777" w:rsidR="00B63368" w:rsidRPr="00535B7B" w:rsidRDefault="00B63368" w:rsidP="0008463E">
      <w:pPr>
        <w:rPr>
          <w:b/>
          <w:bCs/>
        </w:rPr>
      </w:pPr>
    </w:p>
    <w:p w14:paraId="5C3318B1" w14:textId="5AC675BE" w:rsidR="0029181C" w:rsidRPr="00535B7B" w:rsidRDefault="00AA2B28" w:rsidP="0008463E">
      <w:r w:rsidRPr="00535B7B">
        <w:t xml:space="preserve">The guidance should set out who will be involved in the reconciliation </w:t>
      </w:r>
      <w:r w:rsidR="006E49E0" w:rsidRPr="00535B7B">
        <w:t xml:space="preserve">of </w:t>
      </w:r>
      <w:r w:rsidR="00A70CAB" w:rsidRPr="00535B7B">
        <w:t xml:space="preserve">significant </w:t>
      </w:r>
      <w:r w:rsidR="00791D84" w:rsidRPr="00535B7B">
        <w:t>misalignment between the SSEP and RESP.</w:t>
      </w:r>
    </w:p>
    <w:p w14:paraId="232936D0" w14:textId="77777777" w:rsidR="00AA2B28" w:rsidRPr="00535B7B" w:rsidRDefault="00AA2B28" w:rsidP="0008463E"/>
    <w:p w14:paraId="3805553B" w14:textId="5E934125" w:rsidR="00D60B5B" w:rsidRPr="00535B7B" w:rsidRDefault="00D60B5B" w:rsidP="0008463E">
      <w:pPr>
        <w:rPr>
          <w:b/>
          <w:bCs/>
        </w:rPr>
      </w:pPr>
      <w:r w:rsidRPr="00535B7B">
        <w:rPr>
          <w:b/>
          <w:bCs/>
        </w:rPr>
        <w:t>Spatial Context</w:t>
      </w:r>
      <w:r w:rsidR="00F50932" w:rsidRPr="00535B7B">
        <w:rPr>
          <w:b/>
          <w:bCs/>
        </w:rPr>
        <w:t xml:space="preserve"> – para 3.18 </w:t>
      </w:r>
      <w:r w:rsidR="00B72C93" w:rsidRPr="00535B7B">
        <w:rPr>
          <w:b/>
          <w:bCs/>
        </w:rPr>
        <w:t>–</w:t>
      </w:r>
      <w:r w:rsidR="00F50932" w:rsidRPr="00535B7B">
        <w:rPr>
          <w:b/>
          <w:bCs/>
        </w:rPr>
        <w:t xml:space="preserve"> </w:t>
      </w:r>
      <w:r w:rsidR="00B72C93" w:rsidRPr="00535B7B">
        <w:rPr>
          <w:b/>
          <w:bCs/>
        </w:rPr>
        <w:t>3.21</w:t>
      </w:r>
    </w:p>
    <w:p w14:paraId="2C41234E" w14:textId="77777777" w:rsidR="0008463E" w:rsidRPr="00535B7B" w:rsidRDefault="0008463E" w:rsidP="00A431B1"/>
    <w:p w14:paraId="2319CE74" w14:textId="1192FD1F" w:rsidR="00D60B5B" w:rsidRPr="00535B7B" w:rsidRDefault="0019764D" w:rsidP="00E16EAA">
      <w:r w:rsidRPr="00535B7B">
        <w:t xml:space="preserve">The guidance should be explicit </w:t>
      </w:r>
      <w:r w:rsidR="003A59A6" w:rsidRPr="00535B7B">
        <w:t>that RESP</w:t>
      </w:r>
      <w:r w:rsidR="00314CDA" w:rsidRPr="00535B7B">
        <w:t xml:space="preserve"> should </w:t>
      </w:r>
      <w:r w:rsidR="00E76D57" w:rsidRPr="00535B7B">
        <w:t xml:space="preserve">build up a better </w:t>
      </w:r>
      <w:r w:rsidR="007451EE" w:rsidRPr="00535B7B">
        <w:t xml:space="preserve">spatial </w:t>
      </w:r>
      <w:r w:rsidR="00E76D57" w:rsidRPr="00535B7B">
        <w:t>understanding of likely future hotspots for demand and supply through engagement</w:t>
      </w:r>
      <w:r w:rsidR="007451EE" w:rsidRPr="00535B7B">
        <w:t xml:space="preserve"> with local authorities in respect of their </w:t>
      </w:r>
      <w:r w:rsidR="00DC5730" w:rsidRPr="00535B7B">
        <w:t xml:space="preserve">net zero plans, </w:t>
      </w:r>
      <w:r w:rsidR="007451EE" w:rsidRPr="00535B7B">
        <w:t>aspirations for renewable energy deployment</w:t>
      </w:r>
      <w:r w:rsidR="00692DE9" w:rsidRPr="00535B7B">
        <w:t>,</w:t>
      </w:r>
      <w:r w:rsidR="007451EE" w:rsidRPr="00535B7B">
        <w:t xml:space="preserve"> </w:t>
      </w:r>
      <w:r w:rsidR="00B72C93" w:rsidRPr="00535B7B">
        <w:t xml:space="preserve">spatial </w:t>
      </w:r>
      <w:r w:rsidR="007451EE" w:rsidRPr="00535B7B">
        <w:t>growth plans</w:t>
      </w:r>
      <w:r w:rsidR="00692DE9" w:rsidRPr="00535B7B">
        <w:t xml:space="preserve"> and transport plans</w:t>
      </w:r>
      <w:r w:rsidR="0090387A" w:rsidRPr="00535B7B">
        <w:t xml:space="preserve">, and with industrial </w:t>
      </w:r>
      <w:r w:rsidR="0087748B" w:rsidRPr="00535B7B">
        <w:t>stakeholders.</w:t>
      </w:r>
      <w:r w:rsidR="002C0701" w:rsidRPr="00535B7B">
        <w:t xml:space="preserve"> At para </w:t>
      </w:r>
      <w:r w:rsidR="00FD7257" w:rsidRPr="00535B7B">
        <w:t>3.19</w:t>
      </w:r>
      <w:r w:rsidR="00C263C9" w:rsidRPr="00535B7B">
        <w:t xml:space="preserve"> </w:t>
      </w:r>
      <w:r w:rsidR="00E22503" w:rsidRPr="00535B7B">
        <w:t xml:space="preserve">the digital geospatial mapping tool </w:t>
      </w:r>
      <w:r w:rsidR="003367F7" w:rsidRPr="00535B7B">
        <w:t>should be publicly accessible.</w:t>
      </w:r>
    </w:p>
    <w:p w14:paraId="505FE055" w14:textId="77777777" w:rsidR="007D20F2" w:rsidRPr="00535B7B" w:rsidRDefault="007D20F2" w:rsidP="00A431B1"/>
    <w:p w14:paraId="14B92FD6" w14:textId="6C63EBF4" w:rsidR="007D20F2" w:rsidRPr="00535B7B" w:rsidRDefault="007D20F2" w:rsidP="00A431B1">
      <w:pPr>
        <w:rPr>
          <w:b/>
          <w:bCs/>
        </w:rPr>
      </w:pPr>
      <w:r w:rsidRPr="00535B7B">
        <w:rPr>
          <w:b/>
          <w:bCs/>
        </w:rPr>
        <w:t>Strategic Boards</w:t>
      </w:r>
    </w:p>
    <w:p w14:paraId="4472B61A" w14:textId="77777777" w:rsidR="007D20F2" w:rsidRPr="00535B7B" w:rsidRDefault="007D20F2" w:rsidP="00A431B1"/>
    <w:p w14:paraId="1481DAA2" w14:textId="7A2321F4" w:rsidR="00040D28" w:rsidRPr="00535B7B" w:rsidRDefault="00040D28" w:rsidP="00CC03E5">
      <w:r w:rsidRPr="00535B7B">
        <w:t xml:space="preserve">At paragraph </w:t>
      </w:r>
      <w:r w:rsidR="00D54AD9" w:rsidRPr="00535B7B">
        <w:t>4.8</w:t>
      </w:r>
      <w:r w:rsidR="00C11434" w:rsidRPr="00535B7B">
        <w:t xml:space="preserve"> </w:t>
      </w:r>
      <w:r w:rsidR="00151A28" w:rsidRPr="00535B7B">
        <w:t xml:space="preserve">the guidance advises </w:t>
      </w:r>
      <w:r w:rsidR="00CC03E5" w:rsidRPr="00535B7B">
        <w:t xml:space="preserve">that </w:t>
      </w:r>
      <w:r w:rsidR="004779BC" w:rsidRPr="00535B7B">
        <w:t>“</w:t>
      </w:r>
      <w:r w:rsidR="00CC03E5" w:rsidRPr="00535B7B">
        <w:t>cross-sector actors</w:t>
      </w:r>
      <w:r w:rsidR="004779BC" w:rsidRPr="00535B7B">
        <w:t>”</w:t>
      </w:r>
      <w:r w:rsidR="00CC03E5" w:rsidRPr="00535B7B">
        <w:t xml:space="preserve"> should sit on </w:t>
      </w:r>
      <w:r w:rsidR="0022240E" w:rsidRPr="00535B7B">
        <w:t>strategic board</w:t>
      </w:r>
      <w:r w:rsidR="00CC03E5" w:rsidRPr="00535B7B">
        <w:t xml:space="preserve">s. It is </w:t>
      </w:r>
      <w:r w:rsidR="004779BC" w:rsidRPr="00535B7B">
        <w:t xml:space="preserve">unclear what this means. </w:t>
      </w:r>
    </w:p>
    <w:p w14:paraId="2F0152F5" w14:textId="77777777" w:rsidR="00CC03E5" w:rsidRPr="00535B7B" w:rsidRDefault="00CC03E5" w:rsidP="00CC03E5"/>
    <w:p w14:paraId="51D86A36" w14:textId="578752B7" w:rsidR="00AB55EF" w:rsidRPr="00535B7B" w:rsidRDefault="00AB55EF" w:rsidP="00A431B1">
      <w:r w:rsidRPr="00535B7B">
        <w:t xml:space="preserve">At paragraph 4.10 </w:t>
      </w:r>
      <w:r w:rsidR="00FF32F5" w:rsidRPr="00535B7B">
        <w:t>the guidance</w:t>
      </w:r>
      <w:r w:rsidR="00136D92" w:rsidRPr="00535B7B">
        <w:t xml:space="preserve"> requires </w:t>
      </w:r>
      <w:r w:rsidR="001757EA" w:rsidRPr="00535B7B">
        <w:t xml:space="preserve">all DNO’s and GDN’s </w:t>
      </w:r>
      <w:r w:rsidR="005C48F6" w:rsidRPr="00535B7B">
        <w:t xml:space="preserve">to be given seats on Strategic Boards. </w:t>
      </w:r>
      <w:r w:rsidR="00BA35A4" w:rsidRPr="00535B7B">
        <w:t xml:space="preserve">Whilst we agree, </w:t>
      </w:r>
      <w:r w:rsidR="00B079E7" w:rsidRPr="00535B7B">
        <w:t>it should never be the ca</w:t>
      </w:r>
      <w:r w:rsidR="00937D3B" w:rsidRPr="00535B7B">
        <w:t>se that DNO’s and GDNs</w:t>
      </w:r>
      <w:r w:rsidR="00FB4C04" w:rsidRPr="00535B7B">
        <w:t xml:space="preserve"> are in the majority</w:t>
      </w:r>
      <w:r w:rsidR="00557360" w:rsidRPr="00535B7B">
        <w:t xml:space="preserve">. </w:t>
      </w:r>
      <w:r w:rsidR="002F69A1" w:rsidRPr="00535B7B">
        <w:t xml:space="preserve">As discussed at </w:t>
      </w:r>
      <w:r w:rsidR="006F670E" w:rsidRPr="00535B7B">
        <w:t xml:space="preserve">paragraph 7.2 </w:t>
      </w:r>
      <w:r w:rsidR="00F8268B" w:rsidRPr="00535B7B">
        <w:t>the voting process should seek to minimise the risk of one stakeholder group being over-represented.</w:t>
      </w:r>
    </w:p>
    <w:p w14:paraId="1DA81E4C" w14:textId="77777777" w:rsidR="00AB55EF" w:rsidRPr="00535B7B" w:rsidRDefault="00AB55EF" w:rsidP="00A431B1"/>
    <w:p w14:paraId="29F38A32" w14:textId="72AC16A3" w:rsidR="0016028B" w:rsidRPr="00535B7B" w:rsidRDefault="007D20F2" w:rsidP="0016028B">
      <w:r w:rsidRPr="00535B7B">
        <w:t xml:space="preserve">As discussed, there is the potential for actors </w:t>
      </w:r>
      <w:r w:rsidR="00375B87" w:rsidRPr="00535B7B">
        <w:t xml:space="preserve">with vested </w:t>
      </w:r>
      <w:r w:rsidR="006A4F95" w:rsidRPr="00535B7B">
        <w:t xml:space="preserve">commercial </w:t>
      </w:r>
      <w:r w:rsidR="00375B87" w:rsidRPr="00535B7B">
        <w:t xml:space="preserve">interests </w:t>
      </w:r>
      <w:r w:rsidRPr="00535B7B">
        <w:t xml:space="preserve">to seek to </w:t>
      </w:r>
      <w:r w:rsidR="006A4F95" w:rsidRPr="00535B7B">
        <w:t>frustrate the RESP process</w:t>
      </w:r>
      <w:r w:rsidR="00611CBC" w:rsidRPr="00535B7B">
        <w:t xml:space="preserve">. We would suggest therefore that the </w:t>
      </w:r>
      <w:r w:rsidR="004A136C" w:rsidRPr="00535B7B">
        <w:t xml:space="preserve">template Terms of Reference for strategic board members </w:t>
      </w:r>
      <w:r w:rsidR="006921BF" w:rsidRPr="00535B7B">
        <w:t xml:space="preserve">(para 4.12 of the draft guidance) </w:t>
      </w:r>
      <w:r w:rsidR="004A136C" w:rsidRPr="00535B7B">
        <w:t xml:space="preserve">reasserts the purpose of the RESP process </w:t>
      </w:r>
      <w:r w:rsidR="00487F4B" w:rsidRPr="00535B7B">
        <w:t xml:space="preserve">to align energy </w:t>
      </w:r>
      <w:r w:rsidR="0016028B" w:rsidRPr="00535B7B">
        <w:t xml:space="preserve">system planning and investment with the achievement of net </w:t>
      </w:r>
      <w:r w:rsidR="00D304F3" w:rsidRPr="00535B7B">
        <w:t>zero and</w:t>
      </w:r>
      <w:r w:rsidR="003B38B7" w:rsidRPr="00535B7B">
        <w:t xml:space="preserve"> requires board members to work towards this objective in good faith.</w:t>
      </w:r>
      <w:r w:rsidR="00447965" w:rsidRPr="00535B7B">
        <w:t xml:space="preserve"> This would enable actors to be challenged</w:t>
      </w:r>
      <w:r w:rsidR="0097277F" w:rsidRPr="00535B7B">
        <w:t xml:space="preserve">, and if </w:t>
      </w:r>
      <w:r w:rsidR="00D40DDD" w:rsidRPr="00535B7B">
        <w:t>necessary,</w:t>
      </w:r>
      <w:r w:rsidR="0097277F" w:rsidRPr="00535B7B">
        <w:t xml:space="preserve"> removed from boards.</w:t>
      </w:r>
    </w:p>
    <w:p w14:paraId="42D2E63D" w14:textId="77777777" w:rsidR="007D20F2" w:rsidRPr="00535B7B" w:rsidRDefault="007D20F2" w:rsidP="00A431B1"/>
    <w:p w14:paraId="40401747" w14:textId="1D849349" w:rsidR="0098490A" w:rsidRPr="00535B7B" w:rsidRDefault="0098490A" w:rsidP="00A431B1">
      <w:pPr>
        <w:rPr>
          <w:b/>
          <w:bCs/>
        </w:rPr>
      </w:pPr>
      <w:r w:rsidRPr="00535B7B">
        <w:rPr>
          <w:b/>
          <w:bCs/>
        </w:rPr>
        <w:t>Approval of the Regional Energy Spatial Plans</w:t>
      </w:r>
    </w:p>
    <w:p w14:paraId="3802BC71" w14:textId="77777777" w:rsidR="00843A8D" w:rsidRPr="00535B7B" w:rsidRDefault="00843A8D" w:rsidP="00A01584"/>
    <w:p w14:paraId="20ECE567" w14:textId="7BDDDF50" w:rsidR="00DB675D" w:rsidRPr="00535B7B" w:rsidRDefault="009C6EB1" w:rsidP="00DB675D">
      <w:pPr>
        <w:rPr>
          <w:i/>
          <w:iCs/>
        </w:rPr>
      </w:pPr>
      <w:r w:rsidRPr="00535B7B">
        <w:t>Paragraph 7.1 states: “</w:t>
      </w:r>
      <w:r w:rsidRPr="00535B7B">
        <w:rPr>
          <w:i/>
          <w:iCs/>
        </w:rPr>
        <w:t xml:space="preserve">The approval process should verify the RESP is credible, reflective of how the energy system should develop in that region and reflects the steers from the Strategic Board given during the development process.” </w:t>
      </w:r>
      <w:r w:rsidR="00780A72" w:rsidRPr="00535B7B">
        <w:rPr>
          <w:i/>
          <w:iCs/>
        </w:rPr>
        <w:t xml:space="preserve"> </w:t>
      </w:r>
      <w:r w:rsidR="00CA6D34" w:rsidRPr="00535B7B">
        <w:t xml:space="preserve">The approval process should also </w:t>
      </w:r>
      <w:r w:rsidR="00AA2D7D" w:rsidRPr="00535B7B">
        <w:t xml:space="preserve">ensure that the RESP sets out a </w:t>
      </w:r>
      <w:r w:rsidR="00ED5D2B" w:rsidRPr="00535B7B">
        <w:t xml:space="preserve">realistic </w:t>
      </w:r>
      <w:r w:rsidR="00AA2D7D" w:rsidRPr="00535B7B">
        <w:t xml:space="preserve">long-term pathway to net zero emissions, and short-term pathways which will </w:t>
      </w:r>
      <w:r w:rsidR="00EB3381" w:rsidRPr="00535B7B">
        <w:t xml:space="preserve">contribute to </w:t>
      </w:r>
      <w:r w:rsidR="008669D6" w:rsidRPr="00535B7B">
        <w:t>emission reduction</w:t>
      </w:r>
      <w:r w:rsidR="00B00FCA">
        <w:t xml:space="preserve"> and well as optimising </w:t>
      </w:r>
      <w:r w:rsidR="00CC7DE5">
        <w:t>energy system investment</w:t>
      </w:r>
      <w:r w:rsidR="002D4CEA">
        <w:t xml:space="preserve"> to ensure value for consumers</w:t>
      </w:r>
      <w:r w:rsidR="00557C1C" w:rsidRPr="00535B7B">
        <w:t>.</w:t>
      </w:r>
      <w:r w:rsidR="00780A72" w:rsidRPr="00535B7B">
        <w:t xml:space="preserve"> </w:t>
      </w:r>
    </w:p>
    <w:p w14:paraId="3CB7DC07" w14:textId="77777777" w:rsidR="00DB675D" w:rsidRPr="00535B7B" w:rsidRDefault="00DB675D" w:rsidP="00DB675D"/>
    <w:p w14:paraId="3E9F6DB9" w14:textId="37B9580F" w:rsidR="00A01584" w:rsidRPr="00535B7B" w:rsidRDefault="00365C7C" w:rsidP="00843A8D">
      <w:pPr>
        <w:pStyle w:val="Heading1"/>
      </w:pPr>
      <w:r w:rsidRPr="00535B7B">
        <w:t xml:space="preserve">Q2. </w:t>
      </w:r>
      <w:r w:rsidR="00A01584" w:rsidRPr="00535B7B">
        <w:t xml:space="preserve">Do you agree that we have, to a reasonable extent, captured the role of network companies participating in the RESP process? </w:t>
      </w:r>
    </w:p>
    <w:p w14:paraId="05412F7F" w14:textId="77777777" w:rsidR="00A01584" w:rsidRPr="00535B7B" w:rsidRDefault="00A01584" w:rsidP="00A01584"/>
    <w:p w14:paraId="0983FF82" w14:textId="1D0DDA50" w:rsidR="00F00BF2" w:rsidRPr="00535B7B" w:rsidRDefault="00F00BF2" w:rsidP="00A01584">
      <w:r w:rsidRPr="00535B7B">
        <w:t>Yes.</w:t>
      </w:r>
    </w:p>
    <w:p w14:paraId="503ED4F2" w14:textId="77777777" w:rsidR="00F00BF2" w:rsidRPr="00535B7B" w:rsidRDefault="00F00BF2" w:rsidP="00A01584"/>
    <w:p w14:paraId="30C7D415" w14:textId="3E1F0C6A" w:rsidR="00A01584" w:rsidRPr="00535B7B" w:rsidRDefault="006D59AD" w:rsidP="00843A8D">
      <w:pPr>
        <w:pStyle w:val="Heading1"/>
      </w:pPr>
      <w:r w:rsidRPr="00535B7B">
        <w:t xml:space="preserve">Q3. </w:t>
      </w:r>
      <w:r w:rsidR="00A01584" w:rsidRPr="00535B7B">
        <w:t xml:space="preserve">Are there any expectations that require clarification? </w:t>
      </w:r>
    </w:p>
    <w:p w14:paraId="7D200543" w14:textId="77777777" w:rsidR="00A01584" w:rsidRPr="00535B7B" w:rsidRDefault="00A01584" w:rsidP="00A01584"/>
    <w:p w14:paraId="1C18A72B" w14:textId="0A6FC7F1" w:rsidR="00691160" w:rsidRPr="00535B7B" w:rsidRDefault="00F83BC2" w:rsidP="00A01584">
      <w:r w:rsidRPr="00535B7B">
        <w:t xml:space="preserve">At paragraph </w:t>
      </w:r>
      <w:r w:rsidR="00D3510D" w:rsidRPr="00535B7B">
        <w:t xml:space="preserve">9.9 it </w:t>
      </w:r>
      <w:r w:rsidR="00D40DDD" w:rsidRPr="00535B7B">
        <w:t>states,</w:t>
      </w:r>
      <w:r w:rsidR="00D3510D" w:rsidRPr="00535B7B">
        <w:t xml:space="preserve"> “</w:t>
      </w:r>
      <w:r w:rsidR="00D3510D" w:rsidRPr="00535B7B">
        <w:rPr>
          <w:i/>
          <w:iCs/>
        </w:rPr>
        <w:t xml:space="preserve">The licensee must sufficiently engage in the Strategic Board to help guide the best outcome for the overall ambitions of the region.” </w:t>
      </w:r>
      <w:r w:rsidR="00D3510D" w:rsidRPr="00535B7B">
        <w:t>This is to</w:t>
      </w:r>
      <w:r w:rsidR="00691160" w:rsidRPr="00535B7B">
        <w:t>o</w:t>
      </w:r>
      <w:r w:rsidR="00D3510D" w:rsidRPr="00535B7B">
        <w:t xml:space="preserve"> general </w:t>
      </w:r>
      <w:r w:rsidR="00691160" w:rsidRPr="00535B7B">
        <w:t>an objective and makes no reference to the role of RESP in achieving Net Zero</w:t>
      </w:r>
      <w:r w:rsidR="006B699F" w:rsidRPr="00535B7B">
        <w:t xml:space="preserve">. </w:t>
      </w:r>
      <w:r w:rsidR="00C033DF" w:rsidRPr="00535B7B">
        <w:t>We suggest the</w:t>
      </w:r>
      <w:r w:rsidR="00415BB7" w:rsidRPr="00535B7B">
        <w:t xml:space="preserve"> following amendment</w:t>
      </w:r>
      <w:r w:rsidR="00D9242A" w:rsidRPr="00535B7B">
        <w:t>:</w:t>
      </w:r>
      <w:r w:rsidR="00415BB7" w:rsidRPr="00535B7B">
        <w:t xml:space="preserve"> </w:t>
      </w:r>
      <w:r w:rsidR="00C033DF" w:rsidRPr="00535B7B">
        <w:t xml:space="preserve"> </w:t>
      </w:r>
    </w:p>
    <w:p w14:paraId="08639BE7" w14:textId="096FABA6" w:rsidR="00D3510D" w:rsidRPr="00535B7B" w:rsidRDefault="00D3510D" w:rsidP="00A01584">
      <w:pPr>
        <w:rPr>
          <w:i/>
          <w:iCs/>
        </w:rPr>
      </w:pPr>
      <w:r w:rsidRPr="00535B7B">
        <w:rPr>
          <w:i/>
          <w:iCs/>
        </w:rPr>
        <w:t xml:space="preserve"> </w:t>
      </w:r>
    </w:p>
    <w:p w14:paraId="429871E1" w14:textId="67CF3FDA" w:rsidR="00C033DF" w:rsidRPr="00535B7B" w:rsidRDefault="00C033DF" w:rsidP="00A01584">
      <w:pPr>
        <w:rPr>
          <w:i/>
          <w:iCs/>
        </w:rPr>
      </w:pPr>
      <w:r w:rsidRPr="00535B7B">
        <w:rPr>
          <w:i/>
          <w:iCs/>
        </w:rPr>
        <w:t>“The licensee must sufficiently engage in the Strategic Board to help guide the best outcome for the overall ambitions of the region</w:t>
      </w:r>
      <w:r w:rsidR="00D870A7" w:rsidRPr="00535B7B">
        <w:rPr>
          <w:i/>
          <w:iCs/>
          <w:u w:val="single"/>
        </w:rPr>
        <w:t xml:space="preserve">, consistent with </w:t>
      </w:r>
      <w:r w:rsidR="00415BB7" w:rsidRPr="00535B7B">
        <w:rPr>
          <w:i/>
          <w:iCs/>
          <w:u w:val="single"/>
        </w:rPr>
        <w:t>achieving a long-term pathway to net zero</w:t>
      </w:r>
      <w:r w:rsidR="00C87EFF" w:rsidRPr="00535B7B">
        <w:rPr>
          <w:i/>
          <w:iCs/>
          <w:u w:val="single"/>
        </w:rPr>
        <w:t xml:space="preserve">, and must </w:t>
      </w:r>
      <w:r w:rsidR="00240EF6" w:rsidRPr="00535B7B">
        <w:rPr>
          <w:i/>
          <w:iCs/>
          <w:u w:val="single"/>
        </w:rPr>
        <w:t xml:space="preserve">operate in good faith towards this objective. </w:t>
      </w:r>
    </w:p>
    <w:p w14:paraId="417E2314" w14:textId="77777777" w:rsidR="00473191" w:rsidRPr="00535B7B" w:rsidRDefault="00473191" w:rsidP="00A01584"/>
    <w:p w14:paraId="7BA8CB9D" w14:textId="608ADBCF" w:rsidR="00A01584" w:rsidRPr="00535B7B" w:rsidRDefault="007C584C" w:rsidP="00843A8D">
      <w:pPr>
        <w:pStyle w:val="Heading1"/>
      </w:pPr>
      <w:r w:rsidRPr="00535B7B">
        <w:t xml:space="preserve">Q4. </w:t>
      </w:r>
      <w:r w:rsidR="00A01584" w:rsidRPr="00535B7B">
        <w:t>Are there any considerations that are not captured in this guidance document that may impact the delivery of the RESPs?</w:t>
      </w:r>
    </w:p>
    <w:p w14:paraId="0153EEBA" w14:textId="77777777" w:rsidR="00402E0F" w:rsidRPr="00535B7B" w:rsidRDefault="00402E0F" w:rsidP="004850E0"/>
    <w:p w14:paraId="0DF0D210" w14:textId="102D9D0F" w:rsidR="004850E0" w:rsidRPr="00535B7B" w:rsidRDefault="004850E0" w:rsidP="004850E0">
      <w:r w:rsidRPr="00535B7B">
        <w:t>Whilst we understand that the licence modifications relate to distribution network operators and gas distribution networks, the guidance document makes no mention at all of transport or industry and how these energy vectors are to be factored into the RESP methodology</w:t>
      </w:r>
      <w:r w:rsidR="008E09E5" w:rsidRPr="00535B7B">
        <w:t xml:space="preserve"> and how these stakeholders are to be identified and engaged</w:t>
      </w:r>
      <w:r w:rsidRPr="00535B7B">
        <w:t>. The guidance would appear to need further development in respect of these vectors.</w:t>
      </w:r>
    </w:p>
    <w:p w14:paraId="6AB76396" w14:textId="77777777" w:rsidR="004850E0" w:rsidRPr="00535B7B" w:rsidRDefault="004850E0" w:rsidP="004850E0"/>
    <w:p w14:paraId="0B696854" w14:textId="3BE1EBC2" w:rsidR="00095368" w:rsidRPr="00535B7B" w:rsidRDefault="00A2382B">
      <w:r w:rsidRPr="00535B7B">
        <w:t>The document sets out very brief guidance in respect of public consultation</w:t>
      </w:r>
      <w:r w:rsidR="000F66F4" w:rsidRPr="00535B7B">
        <w:t xml:space="preserve">, stating only that the </w:t>
      </w:r>
      <w:r w:rsidR="00C97290" w:rsidRPr="00535B7B">
        <w:t>licensee</w:t>
      </w:r>
      <w:r w:rsidR="00C34C51" w:rsidRPr="00535B7B">
        <w:t xml:space="preserve"> must set out the timelines and details for public consultation including a description of </w:t>
      </w:r>
      <w:r w:rsidR="00264398" w:rsidRPr="00535B7B">
        <w:t xml:space="preserve">the channels used to reach different stakeholder groups. </w:t>
      </w:r>
      <w:r w:rsidR="0033157C" w:rsidRPr="00535B7B">
        <w:t xml:space="preserve">From our own considerable experience of community involvement, </w:t>
      </w:r>
      <w:r w:rsidR="00AC2E41" w:rsidRPr="00535B7B">
        <w:t xml:space="preserve">we know that </w:t>
      </w:r>
      <w:r w:rsidR="00B661D4" w:rsidRPr="00535B7B">
        <w:t xml:space="preserve">achieving representative engagement with </w:t>
      </w:r>
      <w:r w:rsidR="00AC2E41" w:rsidRPr="00535B7B">
        <w:t xml:space="preserve">the public </w:t>
      </w:r>
      <w:r w:rsidR="00B661D4" w:rsidRPr="00535B7B">
        <w:t xml:space="preserve">can be </w:t>
      </w:r>
      <w:r w:rsidR="003C6358" w:rsidRPr="00535B7B">
        <w:t xml:space="preserve">very </w:t>
      </w:r>
      <w:r w:rsidR="00B661D4" w:rsidRPr="00535B7B">
        <w:t>challenging, particularly</w:t>
      </w:r>
      <w:r w:rsidR="00636E51" w:rsidRPr="00535B7B">
        <w:t xml:space="preserve"> in respect of unknown, </w:t>
      </w:r>
      <w:r w:rsidR="005305DC" w:rsidRPr="00535B7B">
        <w:t>technocratic</w:t>
      </w:r>
      <w:r w:rsidR="00636E51" w:rsidRPr="00535B7B">
        <w:t xml:space="preserve"> and complicated </w:t>
      </w:r>
      <w:r w:rsidR="00E96995" w:rsidRPr="00535B7B">
        <w:t>policy areas</w:t>
      </w:r>
      <w:r w:rsidR="001040FC" w:rsidRPr="00535B7B">
        <w:t>, and RESP is all three</w:t>
      </w:r>
      <w:r w:rsidR="00E96995" w:rsidRPr="00535B7B">
        <w:t xml:space="preserve">. </w:t>
      </w:r>
      <w:r w:rsidR="00095368" w:rsidRPr="00535B7B">
        <w:t xml:space="preserve">For the RESP to truly be truly place based and have shared ownership of its outcomes, its creation needs to be both collaborative and equitable i.e. not reinforcing existing public and institutional constraints in engagement and participation. </w:t>
      </w:r>
      <w:r w:rsidR="16B58F8C" w:rsidRPr="00535B7B">
        <w:t>We would welcome a consultation on the RESP’s approach to public consultation and community engagement.</w:t>
      </w:r>
      <w:commentRangeStart w:id="0"/>
      <w:commentRangeEnd w:id="0"/>
      <w:r w:rsidRPr="00535B7B">
        <w:rPr>
          <w:rStyle w:val="CommentReference"/>
        </w:rPr>
        <w:commentReference w:id="0"/>
      </w:r>
    </w:p>
    <w:p w14:paraId="3097D8DF" w14:textId="77777777" w:rsidR="002A547C" w:rsidRPr="00535B7B" w:rsidRDefault="002A547C"/>
    <w:p w14:paraId="5700921A" w14:textId="52D526B7" w:rsidR="002A547C" w:rsidRPr="00535B7B" w:rsidRDefault="00B373F5">
      <w:r w:rsidRPr="00535B7B">
        <w:lastRenderedPageBreak/>
        <w:t xml:space="preserve">As well as </w:t>
      </w:r>
      <w:r w:rsidR="00D4793B" w:rsidRPr="00535B7B">
        <w:t>setting out channels to reach different audiences, t</w:t>
      </w:r>
      <w:r w:rsidR="003C6358" w:rsidRPr="00535B7B">
        <w:t xml:space="preserve">he </w:t>
      </w:r>
      <w:r w:rsidR="001040FC" w:rsidRPr="00535B7B">
        <w:t xml:space="preserve">guidance should </w:t>
      </w:r>
      <w:r w:rsidR="000B6418" w:rsidRPr="00535B7B">
        <w:t xml:space="preserve">require </w:t>
      </w:r>
      <w:r w:rsidR="003C6358" w:rsidRPr="00535B7B">
        <w:t>clear mapping of local stakeholders</w:t>
      </w:r>
      <w:r w:rsidR="00D4793B" w:rsidRPr="00535B7B">
        <w:t xml:space="preserve">, and we’d suggest </w:t>
      </w:r>
      <w:r w:rsidR="00FA01C5" w:rsidRPr="00535B7B">
        <w:t xml:space="preserve">that </w:t>
      </w:r>
      <w:r w:rsidR="00D4793B" w:rsidRPr="00535B7B">
        <w:t xml:space="preserve">consideration </w:t>
      </w:r>
      <w:r w:rsidR="0059041A" w:rsidRPr="00535B7B">
        <w:t xml:space="preserve">is given to </w:t>
      </w:r>
      <w:r w:rsidR="00D4793B" w:rsidRPr="00535B7B">
        <w:t xml:space="preserve">how the RESP </w:t>
      </w:r>
      <w:r w:rsidR="006A6890" w:rsidRPr="00535B7B">
        <w:t xml:space="preserve">can be explained to </w:t>
      </w:r>
      <w:r w:rsidR="00244FFB" w:rsidRPr="00535B7B">
        <w:t xml:space="preserve">the </w:t>
      </w:r>
      <w:r w:rsidR="006A6890" w:rsidRPr="00535B7B">
        <w:t>public as something relevant to them</w:t>
      </w:r>
      <w:r w:rsidR="00244FFB" w:rsidRPr="00535B7B">
        <w:t xml:space="preserve"> that they would </w:t>
      </w:r>
      <w:r w:rsidR="005305DC" w:rsidRPr="00535B7B">
        <w:t xml:space="preserve">want </w:t>
      </w:r>
      <w:r w:rsidR="00244FFB" w:rsidRPr="00535B7B">
        <w:t>to get involved with</w:t>
      </w:r>
      <w:r w:rsidR="006A6890" w:rsidRPr="00535B7B">
        <w:t xml:space="preserve">. </w:t>
      </w:r>
      <w:r w:rsidR="002A547C" w:rsidRPr="00535B7B">
        <w:t xml:space="preserve">A similar process </w:t>
      </w:r>
      <w:r w:rsidR="00D354F4" w:rsidRPr="00535B7B">
        <w:t>needs to happen with local authorities</w:t>
      </w:r>
      <w:r w:rsidR="00E72DDA" w:rsidRPr="00535B7B">
        <w:t>, industry</w:t>
      </w:r>
      <w:r w:rsidR="00D354F4" w:rsidRPr="00535B7B">
        <w:t xml:space="preserve"> and </w:t>
      </w:r>
      <w:r w:rsidR="00E72DDA" w:rsidRPr="00535B7B">
        <w:t>other stakeholders.</w:t>
      </w:r>
    </w:p>
    <w:p w14:paraId="148D5529" w14:textId="77777777" w:rsidR="002A547C" w:rsidRPr="00535B7B" w:rsidRDefault="002A547C"/>
    <w:p w14:paraId="2C8AF42C" w14:textId="4BF1C131" w:rsidR="00A01584" w:rsidRPr="00535B7B" w:rsidRDefault="00B416B0">
      <w:r w:rsidRPr="00535B7B">
        <w:t>L</w:t>
      </w:r>
      <w:r w:rsidR="006A6890" w:rsidRPr="00535B7B">
        <w:t xml:space="preserve">ocal authorities may be </w:t>
      </w:r>
      <w:r w:rsidR="004453E1" w:rsidRPr="00535B7B">
        <w:t>a good interface to their constituents</w:t>
      </w:r>
      <w:r w:rsidR="00DB41AC" w:rsidRPr="00535B7B">
        <w:t xml:space="preserve">, through their existing climate work and </w:t>
      </w:r>
      <w:r w:rsidR="005804E3" w:rsidRPr="00535B7B">
        <w:t xml:space="preserve">links with local </w:t>
      </w:r>
      <w:r w:rsidRPr="00535B7B">
        <w:t xml:space="preserve">spatial planning and climate </w:t>
      </w:r>
      <w:r w:rsidR="005804E3" w:rsidRPr="00535B7B">
        <w:t>forums</w:t>
      </w:r>
      <w:r w:rsidR="004453E1" w:rsidRPr="00535B7B">
        <w:t>.</w:t>
      </w:r>
      <w:r w:rsidR="0065123D" w:rsidRPr="00535B7B">
        <w:t xml:space="preserve"> </w:t>
      </w:r>
    </w:p>
    <w:sectPr w:rsidR="00A01584" w:rsidRPr="00535B7B" w:rsidSect="00504603">
      <w:headerReference w:type="default" r:id="rId16"/>
      <w:footerReference w:type="default" r:id="rId17"/>
      <w:pgSz w:w="11906" w:h="16838"/>
      <w:pgMar w:top="1701" w:right="1134" w:bottom="1134" w:left="1134" w:header="397" w:footer="39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Ian Preston" w:date="2025-08-07T11:26:00Z" w:initials="IP">
    <w:p w14:paraId="2EF7F19D" w14:textId="439AD0E0" w:rsidR="000630C2" w:rsidRDefault="000630C2">
      <w:pPr>
        <w:pStyle w:val="CommentText"/>
      </w:pPr>
      <w:r>
        <w:rPr>
          <w:rStyle w:val="CommentReference"/>
        </w:rPr>
        <w:annotationRef/>
      </w:r>
      <w:r w:rsidRPr="1ABFA7EE">
        <w:t>Yes /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F7F19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F64AE4" w16cex:dateUtc="2025-08-07T10:26:00Z">
    <w16cex:extLst>
      <w16:ext w16:uri="{CE6994B0-6A32-4C9F-8C6B-6E91EDA988CE}">
        <cr:reactions xmlns:cr="http://schemas.microsoft.com/office/comments/2020/reactions">
          <cr:reaction reactionType="1">
            <cr:reactionInfo dateUtc="2025-08-07T10:29:51Z">
              <cr:user userId="S::dans@cse.org.uk::5e03f76b-057a-4eae-a0e5-1bc503c278f1" userProvider="AD" userName="Dan Stone"/>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F7F19D" w16cid:durableId="42F64A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2553F" w14:textId="77777777" w:rsidR="00A03CDF" w:rsidRDefault="00A03CDF" w:rsidP="00E969BF">
      <w:r>
        <w:separator/>
      </w:r>
    </w:p>
  </w:endnote>
  <w:endnote w:type="continuationSeparator" w:id="0">
    <w:p w14:paraId="63334A3D" w14:textId="77777777" w:rsidR="00A03CDF" w:rsidRDefault="00A03CDF" w:rsidP="00E9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8E0B" w14:textId="0DD4234D" w:rsidR="00375BD2" w:rsidRPr="00375BD2" w:rsidRDefault="00F678BD" w:rsidP="00F678BD">
    <w:pPr>
      <w:rPr>
        <w:color w:val="808080" w:themeColor="background1" w:themeShade="80"/>
      </w:rPr>
    </w:pPr>
    <w:r>
      <w:rPr>
        <w:color w:val="808080" w:themeColor="background1" w:themeShade="80"/>
      </w:rPr>
      <w:t>Footer</w:t>
    </w:r>
    <w:r>
      <w:rPr>
        <w:color w:val="808080" w:themeColor="background1" w:themeShade="80"/>
      </w:rPr>
      <w:tab/>
    </w:r>
    <w:r>
      <w:rPr>
        <w:color w:val="808080" w:themeColor="background1" w:themeShade="80"/>
      </w:rPr>
      <w:tab/>
    </w:r>
    <w:r>
      <w:rPr>
        <w:color w:val="808080" w:themeColor="background1" w:themeShade="80"/>
      </w:rPr>
      <w:tab/>
    </w:r>
    <w:r w:rsidR="003D4A7C" w:rsidRPr="003D4A7C">
      <w:rPr>
        <w:color w:val="808080" w:themeColor="background1" w:themeShade="80"/>
      </w:rPr>
      <w:fldChar w:fldCharType="begin"/>
    </w:r>
    <w:r w:rsidR="003D4A7C" w:rsidRPr="003D4A7C">
      <w:rPr>
        <w:color w:val="808080" w:themeColor="background1" w:themeShade="80"/>
      </w:rPr>
      <w:instrText xml:space="preserve"> PAGE   \* MERGEFORMAT </w:instrText>
    </w:r>
    <w:r w:rsidR="003D4A7C" w:rsidRPr="003D4A7C">
      <w:rPr>
        <w:color w:val="808080" w:themeColor="background1" w:themeShade="80"/>
      </w:rPr>
      <w:fldChar w:fldCharType="separate"/>
    </w:r>
    <w:r w:rsidR="00B67C47">
      <w:rPr>
        <w:noProof/>
        <w:color w:val="808080" w:themeColor="background1" w:themeShade="80"/>
      </w:rPr>
      <w:t>1</w:t>
    </w:r>
    <w:r w:rsidR="003D4A7C" w:rsidRPr="003D4A7C">
      <w:rPr>
        <w:noProof/>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8A8EA" w14:textId="77777777" w:rsidR="00A03CDF" w:rsidRDefault="00A03CDF" w:rsidP="00E969BF">
      <w:r>
        <w:separator/>
      </w:r>
    </w:p>
  </w:footnote>
  <w:footnote w:type="continuationSeparator" w:id="0">
    <w:p w14:paraId="720FF2BC" w14:textId="77777777" w:rsidR="00A03CDF" w:rsidRDefault="00A03CDF" w:rsidP="00E9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22C8" w14:textId="414E8A48" w:rsidR="006F3B8A" w:rsidRDefault="006F3B8A">
    <w:pPr>
      <w:pStyle w:val="Header"/>
    </w:pPr>
    <w:r w:rsidRPr="00482FF3">
      <w:rPr>
        <w:b/>
        <w:noProof/>
        <w:sz w:val="40"/>
        <w:szCs w:val="40"/>
        <w:lang w:eastAsia="en-GB"/>
      </w:rPr>
      <w:drawing>
        <wp:anchor distT="0" distB="0" distL="114300" distR="114300" simplePos="0" relativeHeight="251658240" behindDoc="0" locked="0" layoutInCell="1" allowOverlap="1" wp14:anchorId="38CF4D64" wp14:editId="051C62E2">
          <wp:simplePos x="0" y="0"/>
          <wp:positionH relativeFrom="margin">
            <wp:posOffset>4966854</wp:posOffset>
          </wp:positionH>
          <wp:positionV relativeFrom="page">
            <wp:posOffset>245168</wp:posOffset>
          </wp:positionV>
          <wp:extent cx="1587600" cy="680400"/>
          <wp:effectExtent l="0" t="0" r="0" b="5715"/>
          <wp:wrapNone/>
          <wp:docPr id="1" name="Picture 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7600" cy="680400"/>
                  </a:xfrm>
                  <a:prstGeom prst="rect">
                    <a:avLst/>
                  </a:prstGeom>
                </pic:spPr>
              </pic:pic>
            </a:graphicData>
          </a:graphic>
          <wp14:sizeRelH relativeFrom="margin">
            <wp14:pctWidth>0</wp14:pctWidth>
          </wp14:sizeRelH>
          <wp14:sizeRelV relativeFrom="margin">
            <wp14:pctHeight>0</wp14:pctHeight>
          </wp14:sizeRelV>
        </wp:anchor>
      </w:drawing>
    </w:r>
  </w:p>
  <w:p w14:paraId="54AEF5A2" w14:textId="77777777" w:rsidR="001778D5" w:rsidRDefault="001778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0CA3"/>
    <w:multiLevelType w:val="hybridMultilevel"/>
    <w:tmpl w:val="2888542A"/>
    <w:lvl w:ilvl="0" w:tplc="7290591E">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514B1"/>
    <w:multiLevelType w:val="hybridMultilevel"/>
    <w:tmpl w:val="E4AC61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14A80"/>
    <w:multiLevelType w:val="hybridMultilevel"/>
    <w:tmpl w:val="FD5072E0"/>
    <w:lvl w:ilvl="0" w:tplc="08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9ED01D4"/>
    <w:multiLevelType w:val="hybridMultilevel"/>
    <w:tmpl w:val="9BD01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FB6BF3"/>
    <w:multiLevelType w:val="hybridMultilevel"/>
    <w:tmpl w:val="2432F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D4015B"/>
    <w:multiLevelType w:val="hybridMultilevel"/>
    <w:tmpl w:val="3FEA8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224DE"/>
    <w:multiLevelType w:val="hybridMultilevel"/>
    <w:tmpl w:val="032C2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62BAB"/>
    <w:multiLevelType w:val="hybridMultilevel"/>
    <w:tmpl w:val="1A7A068C"/>
    <w:lvl w:ilvl="0" w:tplc="787215AE">
      <w:numFmt w:val="bullet"/>
      <w:lvlText w:val="-"/>
      <w:lvlJc w:val="left"/>
      <w:pPr>
        <w:ind w:left="720" w:hanging="360"/>
      </w:pPr>
      <w:rPr>
        <w:rFonts w:ascii="Corbel" w:eastAsiaTheme="minorHAnsi" w:hAnsi="Corbe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97ED3"/>
    <w:multiLevelType w:val="hybridMultilevel"/>
    <w:tmpl w:val="7932D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14C9E"/>
    <w:multiLevelType w:val="hybridMultilevel"/>
    <w:tmpl w:val="18DE6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1EC9CAB0"/>
    <w:multiLevelType w:val="hybridMultilevel"/>
    <w:tmpl w:val="B7604B98"/>
    <w:lvl w:ilvl="0" w:tplc="5B7AE7A8">
      <w:start w:val="1"/>
      <w:numFmt w:val="bullet"/>
      <w:lvlText w:val=""/>
      <w:lvlJc w:val="left"/>
      <w:pPr>
        <w:ind w:left="720" w:hanging="360"/>
      </w:pPr>
      <w:rPr>
        <w:rFonts w:ascii="Symbol" w:hAnsi="Symbol" w:hint="default"/>
      </w:rPr>
    </w:lvl>
    <w:lvl w:ilvl="1" w:tplc="9FBA1E36">
      <w:start w:val="1"/>
      <w:numFmt w:val="bullet"/>
      <w:lvlText w:val="o"/>
      <w:lvlJc w:val="left"/>
      <w:pPr>
        <w:ind w:left="1440" w:hanging="360"/>
      </w:pPr>
      <w:rPr>
        <w:rFonts w:ascii="Courier New" w:hAnsi="Courier New" w:hint="default"/>
      </w:rPr>
    </w:lvl>
    <w:lvl w:ilvl="2" w:tplc="472E397C">
      <w:start w:val="1"/>
      <w:numFmt w:val="bullet"/>
      <w:lvlText w:val=""/>
      <w:lvlJc w:val="left"/>
      <w:pPr>
        <w:ind w:left="2160" w:hanging="360"/>
      </w:pPr>
      <w:rPr>
        <w:rFonts w:ascii="Wingdings" w:hAnsi="Wingdings" w:hint="default"/>
      </w:rPr>
    </w:lvl>
    <w:lvl w:ilvl="3" w:tplc="C548FC7C">
      <w:start w:val="1"/>
      <w:numFmt w:val="bullet"/>
      <w:lvlText w:val=""/>
      <w:lvlJc w:val="left"/>
      <w:pPr>
        <w:ind w:left="2880" w:hanging="360"/>
      </w:pPr>
      <w:rPr>
        <w:rFonts w:ascii="Symbol" w:hAnsi="Symbol" w:hint="default"/>
      </w:rPr>
    </w:lvl>
    <w:lvl w:ilvl="4" w:tplc="B682505C">
      <w:start w:val="1"/>
      <w:numFmt w:val="bullet"/>
      <w:lvlText w:val="o"/>
      <w:lvlJc w:val="left"/>
      <w:pPr>
        <w:ind w:left="3600" w:hanging="360"/>
      </w:pPr>
      <w:rPr>
        <w:rFonts w:ascii="Courier New" w:hAnsi="Courier New" w:hint="default"/>
      </w:rPr>
    </w:lvl>
    <w:lvl w:ilvl="5" w:tplc="2960A3C4">
      <w:start w:val="1"/>
      <w:numFmt w:val="bullet"/>
      <w:lvlText w:val=""/>
      <w:lvlJc w:val="left"/>
      <w:pPr>
        <w:ind w:left="4320" w:hanging="360"/>
      </w:pPr>
      <w:rPr>
        <w:rFonts w:ascii="Wingdings" w:hAnsi="Wingdings" w:hint="default"/>
      </w:rPr>
    </w:lvl>
    <w:lvl w:ilvl="6" w:tplc="1E54F5FE">
      <w:start w:val="1"/>
      <w:numFmt w:val="bullet"/>
      <w:lvlText w:val=""/>
      <w:lvlJc w:val="left"/>
      <w:pPr>
        <w:ind w:left="5040" w:hanging="360"/>
      </w:pPr>
      <w:rPr>
        <w:rFonts w:ascii="Symbol" w:hAnsi="Symbol" w:hint="default"/>
      </w:rPr>
    </w:lvl>
    <w:lvl w:ilvl="7" w:tplc="A71091D6">
      <w:start w:val="1"/>
      <w:numFmt w:val="bullet"/>
      <w:lvlText w:val="o"/>
      <w:lvlJc w:val="left"/>
      <w:pPr>
        <w:ind w:left="5760" w:hanging="360"/>
      </w:pPr>
      <w:rPr>
        <w:rFonts w:ascii="Courier New" w:hAnsi="Courier New" w:hint="default"/>
      </w:rPr>
    </w:lvl>
    <w:lvl w:ilvl="8" w:tplc="4658F938">
      <w:start w:val="1"/>
      <w:numFmt w:val="bullet"/>
      <w:lvlText w:val=""/>
      <w:lvlJc w:val="left"/>
      <w:pPr>
        <w:ind w:left="6480" w:hanging="360"/>
      </w:pPr>
      <w:rPr>
        <w:rFonts w:ascii="Wingdings" w:hAnsi="Wingdings" w:hint="default"/>
      </w:rPr>
    </w:lvl>
  </w:abstractNum>
  <w:abstractNum w:abstractNumId="11" w15:restartNumberingAfterBreak="0">
    <w:nsid w:val="1FCA49BB"/>
    <w:multiLevelType w:val="hybridMultilevel"/>
    <w:tmpl w:val="B1EEA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122A6"/>
    <w:multiLevelType w:val="hybridMultilevel"/>
    <w:tmpl w:val="CC00DA66"/>
    <w:lvl w:ilvl="0" w:tplc="08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6CB04EA"/>
    <w:multiLevelType w:val="hybridMultilevel"/>
    <w:tmpl w:val="BB58D1C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9427168"/>
    <w:multiLevelType w:val="hybridMultilevel"/>
    <w:tmpl w:val="AEF0C04C"/>
    <w:lvl w:ilvl="0" w:tplc="08090001">
      <w:start w:val="1"/>
      <w:numFmt w:val="bullet"/>
      <w:lvlText w:val=""/>
      <w:lvlJc w:val="left"/>
      <w:pPr>
        <w:tabs>
          <w:tab w:val="num" w:pos="576"/>
        </w:tabs>
        <w:ind w:left="576" w:hanging="504"/>
      </w:pPr>
      <w:rPr>
        <w:rFonts w:ascii="Symbol" w:hAnsi="Symbol" w:hint="default"/>
      </w:rPr>
    </w:lvl>
    <w:lvl w:ilvl="1" w:tplc="DE923E5C">
      <w:numFmt w:val="bullet"/>
      <w:lvlText w:val="-"/>
      <w:lvlJc w:val="left"/>
      <w:pPr>
        <w:tabs>
          <w:tab w:val="num" w:pos="1440"/>
        </w:tabs>
        <w:ind w:left="1440" w:hanging="360"/>
      </w:pPr>
      <w:rPr>
        <w:rFonts w:ascii="Times New Roman" w:eastAsia="Times New Roman" w:hAnsi="Times New Roman" w:cs="Times New Roman" w:hint="default"/>
      </w:rPr>
    </w:lvl>
    <w:lvl w:ilvl="2" w:tplc="A3EC0B64">
      <w:start w:val="5"/>
      <w:numFmt w:val="decimal"/>
      <w:lvlText w:val="%3."/>
      <w:lvlJc w:val="left"/>
      <w:pPr>
        <w:tabs>
          <w:tab w:val="num" w:pos="2484"/>
        </w:tabs>
        <w:ind w:left="2484" w:hanging="504"/>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B8E1F2B"/>
    <w:multiLevelType w:val="hybridMultilevel"/>
    <w:tmpl w:val="C658A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567ADA"/>
    <w:multiLevelType w:val="hybridMultilevel"/>
    <w:tmpl w:val="C7407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8F51FA"/>
    <w:multiLevelType w:val="hybridMultilevel"/>
    <w:tmpl w:val="420645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81218B"/>
    <w:multiLevelType w:val="hybridMultilevel"/>
    <w:tmpl w:val="2D1E62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023543"/>
    <w:multiLevelType w:val="hybridMultilevel"/>
    <w:tmpl w:val="CC2C5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52B62"/>
    <w:multiLevelType w:val="hybridMultilevel"/>
    <w:tmpl w:val="313C5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B31B9D"/>
    <w:multiLevelType w:val="hybridMultilevel"/>
    <w:tmpl w:val="EAC63E2C"/>
    <w:lvl w:ilvl="0" w:tplc="08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80"/>
        </w:tabs>
        <w:ind w:left="1480" w:hanging="360"/>
      </w:pPr>
      <w:rPr>
        <w:rFonts w:ascii="Courier New" w:hAnsi="Courier New" w:hint="default"/>
      </w:rPr>
    </w:lvl>
    <w:lvl w:ilvl="2" w:tplc="04090005" w:tentative="1">
      <w:start w:val="1"/>
      <w:numFmt w:val="bullet"/>
      <w:lvlText w:val=""/>
      <w:lvlJc w:val="left"/>
      <w:pPr>
        <w:tabs>
          <w:tab w:val="num" w:pos="2200"/>
        </w:tabs>
        <w:ind w:left="2200" w:hanging="360"/>
      </w:pPr>
      <w:rPr>
        <w:rFonts w:ascii="Wingdings" w:hAnsi="Wingdings" w:hint="default"/>
      </w:rPr>
    </w:lvl>
    <w:lvl w:ilvl="3" w:tplc="04090001" w:tentative="1">
      <w:start w:val="1"/>
      <w:numFmt w:val="bullet"/>
      <w:lvlText w:val=""/>
      <w:lvlJc w:val="left"/>
      <w:pPr>
        <w:tabs>
          <w:tab w:val="num" w:pos="2920"/>
        </w:tabs>
        <w:ind w:left="2920" w:hanging="360"/>
      </w:pPr>
      <w:rPr>
        <w:rFonts w:ascii="Symbol" w:hAnsi="Symbol" w:hint="default"/>
      </w:rPr>
    </w:lvl>
    <w:lvl w:ilvl="4" w:tplc="04090003" w:tentative="1">
      <w:start w:val="1"/>
      <w:numFmt w:val="bullet"/>
      <w:lvlText w:val="o"/>
      <w:lvlJc w:val="left"/>
      <w:pPr>
        <w:tabs>
          <w:tab w:val="num" w:pos="3640"/>
        </w:tabs>
        <w:ind w:left="3640" w:hanging="360"/>
      </w:pPr>
      <w:rPr>
        <w:rFonts w:ascii="Courier New" w:hAnsi="Courier New" w:hint="default"/>
      </w:rPr>
    </w:lvl>
    <w:lvl w:ilvl="5" w:tplc="04090005" w:tentative="1">
      <w:start w:val="1"/>
      <w:numFmt w:val="bullet"/>
      <w:lvlText w:val=""/>
      <w:lvlJc w:val="left"/>
      <w:pPr>
        <w:tabs>
          <w:tab w:val="num" w:pos="4360"/>
        </w:tabs>
        <w:ind w:left="4360" w:hanging="360"/>
      </w:pPr>
      <w:rPr>
        <w:rFonts w:ascii="Wingdings" w:hAnsi="Wingdings" w:hint="default"/>
      </w:rPr>
    </w:lvl>
    <w:lvl w:ilvl="6" w:tplc="04090001" w:tentative="1">
      <w:start w:val="1"/>
      <w:numFmt w:val="bullet"/>
      <w:lvlText w:val=""/>
      <w:lvlJc w:val="left"/>
      <w:pPr>
        <w:tabs>
          <w:tab w:val="num" w:pos="5080"/>
        </w:tabs>
        <w:ind w:left="5080" w:hanging="360"/>
      </w:pPr>
      <w:rPr>
        <w:rFonts w:ascii="Symbol" w:hAnsi="Symbol" w:hint="default"/>
      </w:rPr>
    </w:lvl>
    <w:lvl w:ilvl="7" w:tplc="04090003" w:tentative="1">
      <w:start w:val="1"/>
      <w:numFmt w:val="bullet"/>
      <w:lvlText w:val="o"/>
      <w:lvlJc w:val="left"/>
      <w:pPr>
        <w:tabs>
          <w:tab w:val="num" w:pos="5800"/>
        </w:tabs>
        <w:ind w:left="5800" w:hanging="360"/>
      </w:pPr>
      <w:rPr>
        <w:rFonts w:ascii="Courier New" w:hAnsi="Courier New" w:hint="default"/>
      </w:rPr>
    </w:lvl>
    <w:lvl w:ilvl="8" w:tplc="04090005" w:tentative="1">
      <w:start w:val="1"/>
      <w:numFmt w:val="bullet"/>
      <w:lvlText w:val=""/>
      <w:lvlJc w:val="left"/>
      <w:pPr>
        <w:tabs>
          <w:tab w:val="num" w:pos="6520"/>
        </w:tabs>
        <w:ind w:left="6520" w:hanging="360"/>
      </w:pPr>
      <w:rPr>
        <w:rFonts w:ascii="Wingdings" w:hAnsi="Wingdings" w:hint="default"/>
      </w:rPr>
    </w:lvl>
  </w:abstractNum>
  <w:abstractNum w:abstractNumId="22" w15:restartNumberingAfterBreak="0">
    <w:nsid w:val="4DBA2B87"/>
    <w:multiLevelType w:val="hybridMultilevel"/>
    <w:tmpl w:val="5F7A3652"/>
    <w:lvl w:ilvl="0" w:tplc="C2BE74B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906F8D"/>
    <w:multiLevelType w:val="hybridMultilevel"/>
    <w:tmpl w:val="BDD2C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C66C25"/>
    <w:multiLevelType w:val="hybridMultilevel"/>
    <w:tmpl w:val="2F764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CC2B47"/>
    <w:multiLevelType w:val="hybridMultilevel"/>
    <w:tmpl w:val="0310B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0A45A3"/>
    <w:multiLevelType w:val="hybridMultilevel"/>
    <w:tmpl w:val="632295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0271620"/>
    <w:multiLevelType w:val="hybridMultilevel"/>
    <w:tmpl w:val="E4449D58"/>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6084703F"/>
    <w:multiLevelType w:val="hybridMultilevel"/>
    <w:tmpl w:val="DDACAC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D647B"/>
    <w:multiLevelType w:val="hybridMultilevel"/>
    <w:tmpl w:val="1772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655B58"/>
    <w:multiLevelType w:val="hybridMultilevel"/>
    <w:tmpl w:val="FC029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315D34"/>
    <w:multiLevelType w:val="hybridMultilevel"/>
    <w:tmpl w:val="80363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E4477"/>
    <w:multiLevelType w:val="hybridMultilevel"/>
    <w:tmpl w:val="8A209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451D9B"/>
    <w:multiLevelType w:val="hybridMultilevel"/>
    <w:tmpl w:val="1A9AFD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9E77CC"/>
    <w:multiLevelType w:val="hybridMultilevel"/>
    <w:tmpl w:val="6E1CA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16cid:durableId="194395704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93733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6901518">
    <w:abstractNumId w:val="9"/>
  </w:num>
  <w:num w:numId="4" w16cid:durableId="1968661242">
    <w:abstractNumId w:val="11"/>
  </w:num>
  <w:num w:numId="5" w16cid:durableId="1743133965">
    <w:abstractNumId w:val="13"/>
  </w:num>
  <w:num w:numId="6" w16cid:durableId="1660302991">
    <w:abstractNumId w:val="0"/>
  </w:num>
  <w:num w:numId="7" w16cid:durableId="852763792">
    <w:abstractNumId w:val="3"/>
  </w:num>
  <w:num w:numId="8" w16cid:durableId="301665199">
    <w:abstractNumId w:val="25"/>
  </w:num>
  <w:num w:numId="9" w16cid:durableId="372657589">
    <w:abstractNumId w:val="16"/>
  </w:num>
  <w:num w:numId="10" w16cid:durableId="953246274">
    <w:abstractNumId w:val="19"/>
  </w:num>
  <w:num w:numId="11" w16cid:durableId="1621182966">
    <w:abstractNumId w:val="6"/>
  </w:num>
  <w:num w:numId="12" w16cid:durableId="1170559235">
    <w:abstractNumId w:val="32"/>
  </w:num>
  <w:num w:numId="13" w16cid:durableId="2114277675">
    <w:abstractNumId w:val="31"/>
  </w:num>
  <w:num w:numId="14" w16cid:durableId="996147883">
    <w:abstractNumId w:val="28"/>
  </w:num>
  <w:num w:numId="15" w16cid:durableId="339239139">
    <w:abstractNumId w:val="22"/>
  </w:num>
  <w:num w:numId="16" w16cid:durableId="1802842412">
    <w:abstractNumId w:val="29"/>
  </w:num>
  <w:num w:numId="17" w16cid:durableId="1066535874">
    <w:abstractNumId w:val="1"/>
  </w:num>
  <w:num w:numId="18" w16cid:durableId="1096095015">
    <w:abstractNumId w:val="14"/>
  </w:num>
  <w:num w:numId="19" w16cid:durableId="1802192563">
    <w:abstractNumId w:val="27"/>
  </w:num>
  <w:num w:numId="20" w16cid:durableId="1826164139">
    <w:abstractNumId w:val="2"/>
  </w:num>
  <w:num w:numId="21" w16cid:durableId="919824629">
    <w:abstractNumId w:val="21"/>
  </w:num>
  <w:num w:numId="22" w16cid:durableId="1895502702">
    <w:abstractNumId w:val="12"/>
  </w:num>
  <w:num w:numId="23" w16cid:durableId="1015888948">
    <w:abstractNumId w:val="8"/>
  </w:num>
  <w:num w:numId="24" w16cid:durableId="229923444">
    <w:abstractNumId w:val="5"/>
  </w:num>
  <w:num w:numId="25" w16cid:durableId="671495151">
    <w:abstractNumId w:val="4"/>
  </w:num>
  <w:num w:numId="26" w16cid:durableId="725027961">
    <w:abstractNumId w:val="15"/>
  </w:num>
  <w:num w:numId="27" w16cid:durableId="1839955151">
    <w:abstractNumId w:val="26"/>
  </w:num>
  <w:num w:numId="28" w16cid:durableId="1325621701">
    <w:abstractNumId w:val="33"/>
  </w:num>
  <w:num w:numId="29" w16cid:durableId="280652882">
    <w:abstractNumId w:val="24"/>
  </w:num>
  <w:num w:numId="30" w16cid:durableId="1061901480">
    <w:abstractNumId w:val="30"/>
  </w:num>
  <w:num w:numId="31" w16cid:durableId="1354725889">
    <w:abstractNumId w:val="23"/>
  </w:num>
  <w:num w:numId="32" w16cid:durableId="894463164">
    <w:abstractNumId w:val="18"/>
  </w:num>
  <w:num w:numId="33" w16cid:durableId="1486242897">
    <w:abstractNumId w:val="17"/>
  </w:num>
  <w:num w:numId="34" w16cid:durableId="1201674773">
    <w:abstractNumId w:val="7"/>
  </w:num>
  <w:num w:numId="35" w16cid:durableId="16078193">
    <w:abstractNumId w:val="10"/>
  </w:num>
  <w:num w:numId="36" w16cid:durableId="11588097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 Preston">
    <w15:presenceInfo w15:providerId="AD" w15:userId="S::ianp@cse.org.uk::0776d61b-3d39-4a7d-8603-8dbe528cda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233"/>
    <w:rsid w:val="000008C6"/>
    <w:rsid w:val="000019E4"/>
    <w:rsid w:val="00007C17"/>
    <w:rsid w:val="00011333"/>
    <w:rsid w:val="0001392D"/>
    <w:rsid w:val="00014168"/>
    <w:rsid w:val="0001568C"/>
    <w:rsid w:val="0002095B"/>
    <w:rsid w:val="00021C4C"/>
    <w:rsid w:val="00022D87"/>
    <w:rsid w:val="00023713"/>
    <w:rsid w:val="000248BE"/>
    <w:rsid w:val="00024A63"/>
    <w:rsid w:val="000251FB"/>
    <w:rsid w:val="00027A22"/>
    <w:rsid w:val="0003033A"/>
    <w:rsid w:val="000304F9"/>
    <w:rsid w:val="000313B6"/>
    <w:rsid w:val="00031420"/>
    <w:rsid w:val="000402F6"/>
    <w:rsid w:val="00040D28"/>
    <w:rsid w:val="00042651"/>
    <w:rsid w:val="0004356A"/>
    <w:rsid w:val="00043FC3"/>
    <w:rsid w:val="00045B82"/>
    <w:rsid w:val="0004650C"/>
    <w:rsid w:val="000505BF"/>
    <w:rsid w:val="000506DB"/>
    <w:rsid w:val="000527DF"/>
    <w:rsid w:val="00053036"/>
    <w:rsid w:val="00055536"/>
    <w:rsid w:val="00060EE5"/>
    <w:rsid w:val="000621E6"/>
    <w:rsid w:val="000630C2"/>
    <w:rsid w:val="000640AD"/>
    <w:rsid w:val="00071350"/>
    <w:rsid w:val="000721FB"/>
    <w:rsid w:val="00077810"/>
    <w:rsid w:val="00080EEC"/>
    <w:rsid w:val="00081E5E"/>
    <w:rsid w:val="00082816"/>
    <w:rsid w:val="0008463E"/>
    <w:rsid w:val="00086B96"/>
    <w:rsid w:val="00087A2F"/>
    <w:rsid w:val="00093014"/>
    <w:rsid w:val="00095368"/>
    <w:rsid w:val="000961B1"/>
    <w:rsid w:val="000A2F40"/>
    <w:rsid w:val="000A6135"/>
    <w:rsid w:val="000A6375"/>
    <w:rsid w:val="000B2D50"/>
    <w:rsid w:val="000B5028"/>
    <w:rsid w:val="000B6418"/>
    <w:rsid w:val="000B78A9"/>
    <w:rsid w:val="000C3D74"/>
    <w:rsid w:val="000C3FA3"/>
    <w:rsid w:val="000D1612"/>
    <w:rsid w:val="000D5000"/>
    <w:rsid w:val="000D54A3"/>
    <w:rsid w:val="000E0D7E"/>
    <w:rsid w:val="000E16B8"/>
    <w:rsid w:val="000F03C9"/>
    <w:rsid w:val="000F4491"/>
    <w:rsid w:val="000F63EE"/>
    <w:rsid w:val="000F66F4"/>
    <w:rsid w:val="0010057D"/>
    <w:rsid w:val="00103F57"/>
    <w:rsid w:val="001040FC"/>
    <w:rsid w:val="001134F2"/>
    <w:rsid w:val="0011477C"/>
    <w:rsid w:val="0011538D"/>
    <w:rsid w:val="001209EB"/>
    <w:rsid w:val="001231A6"/>
    <w:rsid w:val="001274FC"/>
    <w:rsid w:val="00133496"/>
    <w:rsid w:val="00133D6A"/>
    <w:rsid w:val="00135189"/>
    <w:rsid w:val="001357E3"/>
    <w:rsid w:val="00135BA6"/>
    <w:rsid w:val="001363E5"/>
    <w:rsid w:val="00136D92"/>
    <w:rsid w:val="00140753"/>
    <w:rsid w:val="00141BF6"/>
    <w:rsid w:val="00141EC5"/>
    <w:rsid w:val="00150A2A"/>
    <w:rsid w:val="00151A28"/>
    <w:rsid w:val="00153E32"/>
    <w:rsid w:val="001567A4"/>
    <w:rsid w:val="0016028B"/>
    <w:rsid w:val="00172E5F"/>
    <w:rsid w:val="00173052"/>
    <w:rsid w:val="001757EA"/>
    <w:rsid w:val="00176B8D"/>
    <w:rsid w:val="001778D5"/>
    <w:rsid w:val="00182040"/>
    <w:rsid w:val="001829AE"/>
    <w:rsid w:val="001839B4"/>
    <w:rsid w:val="00183CE2"/>
    <w:rsid w:val="00194AB2"/>
    <w:rsid w:val="0019764D"/>
    <w:rsid w:val="001A0D6A"/>
    <w:rsid w:val="001A0E3E"/>
    <w:rsid w:val="001A52A2"/>
    <w:rsid w:val="001A5612"/>
    <w:rsid w:val="001B0E70"/>
    <w:rsid w:val="001B1A85"/>
    <w:rsid w:val="001B287E"/>
    <w:rsid w:val="001B30B3"/>
    <w:rsid w:val="001B4A11"/>
    <w:rsid w:val="001C382A"/>
    <w:rsid w:val="001D1801"/>
    <w:rsid w:val="001D18BC"/>
    <w:rsid w:val="001D2E0D"/>
    <w:rsid w:val="001D34FA"/>
    <w:rsid w:val="001D3DC1"/>
    <w:rsid w:val="001E02A1"/>
    <w:rsid w:val="001E341C"/>
    <w:rsid w:val="001E3CA2"/>
    <w:rsid w:val="001E6D72"/>
    <w:rsid w:val="001F4B48"/>
    <w:rsid w:val="00200233"/>
    <w:rsid w:val="0020095F"/>
    <w:rsid w:val="00212895"/>
    <w:rsid w:val="00214EC1"/>
    <w:rsid w:val="002155F1"/>
    <w:rsid w:val="00216F85"/>
    <w:rsid w:val="00217A8F"/>
    <w:rsid w:val="002217E7"/>
    <w:rsid w:val="0022240E"/>
    <w:rsid w:val="00222C17"/>
    <w:rsid w:val="002236BC"/>
    <w:rsid w:val="00235C9A"/>
    <w:rsid w:val="00240EF6"/>
    <w:rsid w:val="00244FFB"/>
    <w:rsid w:val="00251E3C"/>
    <w:rsid w:val="002618CB"/>
    <w:rsid w:val="00264398"/>
    <w:rsid w:val="00264B81"/>
    <w:rsid w:val="00265DB1"/>
    <w:rsid w:val="002672B5"/>
    <w:rsid w:val="002701A9"/>
    <w:rsid w:val="0027060D"/>
    <w:rsid w:val="00271809"/>
    <w:rsid w:val="0027277B"/>
    <w:rsid w:val="00275798"/>
    <w:rsid w:val="00277624"/>
    <w:rsid w:val="002862C0"/>
    <w:rsid w:val="0029181C"/>
    <w:rsid w:val="00291B0C"/>
    <w:rsid w:val="00292A80"/>
    <w:rsid w:val="0029475C"/>
    <w:rsid w:val="002947D3"/>
    <w:rsid w:val="00294E69"/>
    <w:rsid w:val="00297A1D"/>
    <w:rsid w:val="002A547C"/>
    <w:rsid w:val="002A715F"/>
    <w:rsid w:val="002B01CD"/>
    <w:rsid w:val="002B3CDF"/>
    <w:rsid w:val="002B478E"/>
    <w:rsid w:val="002B5018"/>
    <w:rsid w:val="002B5EEC"/>
    <w:rsid w:val="002B6DD1"/>
    <w:rsid w:val="002C0701"/>
    <w:rsid w:val="002C0891"/>
    <w:rsid w:val="002C08E6"/>
    <w:rsid w:val="002C09DE"/>
    <w:rsid w:val="002C2B11"/>
    <w:rsid w:val="002C41C7"/>
    <w:rsid w:val="002C5DB7"/>
    <w:rsid w:val="002C6D4E"/>
    <w:rsid w:val="002D4A22"/>
    <w:rsid w:val="002D4CEA"/>
    <w:rsid w:val="002D6B65"/>
    <w:rsid w:val="002D72E8"/>
    <w:rsid w:val="002E1CDB"/>
    <w:rsid w:val="002E298F"/>
    <w:rsid w:val="002E3048"/>
    <w:rsid w:val="002F04F7"/>
    <w:rsid w:val="002F0995"/>
    <w:rsid w:val="002F448B"/>
    <w:rsid w:val="002F69A1"/>
    <w:rsid w:val="00302AD9"/>
    <w:rsid w:val="00306750"/>
    <w:rsid w:val="00312564"/>
    <w:rsid w:val="00314CDA"/>
    <w:rsid w:val="00320827"/>
    <w:rsid w:val="00321DFC"/>
    <w:rsid w:val="003278E0"/>
    <w:rsid w:val="0033157C"/>
    <w:rsid w:val="00331671"/>
    <w:rsid w:val="00333577"/>
    <w:rsid w:val="00335BDA"/>
    <w:rsid w:val="003367F7"/>
    <w:rsid w:val="0034394C"/>
    <w:rsid w:val="00347BEB"/>
    <w:rsid w:val="0035124A"/>
    <w:rsid w:val="00356556"/>
    <w:rsid w:val="00356B24"/>
    <w:rsid w:val="00362134"/>
    <w:rsid w:val="00363BA2"/>
    <w:rsid w:val="003640BA"/>
    <w:rsid w:val="00364BC3"/>
    <w:rsid w:val="00365C7C"/>
    <w:rsid w:val="00365FDC"/>
    <w:rsid w:val="00370A39"/>
    <w:rsid w:val="00372A73"/>
    <w:rsid w:val="00373D1C"/>
    <w:rsid w:val="00374CC5"/>
    <w:rsid w:val="00374F91"/>
    <w:rsid w:val="00374FCB"/>
    <w:rsid w:val="00375B1E"/>
    <w:rsid w:val="00375B28"/>
    <w:rsid w:val="00375B87"/>
    <w:rsid w:val="00375BD2"/>
    <w:rsid w:val="00377182"/>
    <w:rsid w:val="00382D8A"/>
    <w:rsid w:val="00385924"/>
    <w:rsid w:val="0038784D"/>
    <w:rsid w:val="00391094"/>
    <w:rsid w:val="00396450"/>
    <w:rsid w:val="003A1BF0"/>
    <w:rsid w:val="003A59A6"/>
    <w:rsid w:val="003A75D4"/>
    <w:rsid w:val="003B38B7"/>
    <w:rsid w:val="003B47EC"/>
    <w:rsid w:val="003B4990"/>
    <w:rsid w:val="003B7BE9"/>
    <w:rsid w:val="003C395D"/>
    <w:rsid w:val="003C56DA"/>
    <w:rsid w:val="003C6358"/>
    <w:rsid w:val="003D4A7C"/>
    <w:rsid w:val="003D4C77"/>
    <w:rsid w:val="003D7C08"/>
    <w:rsid w:val="003E0159"/>
    <w:rsid w:val="003E2C90"/>
    <w:rsid w:val="003F11F8"/>
    <w:rsid w:val="003F2CA1"/>
    <w:rsid w:val="003F499D"/>
    <w:rsid w:val="00402998"/>
    <w:rsid w:val="00402C0C"/>
    <w:rsid w:val="00402E0F"/>
    <w:rsid w:val="00415BB7"/>
    <w:rsid w:val="0042325C"/>
    <w:rsid w:val="00426458"/>
    <w:rsid w:val="00427992"/>
    <w:rsid w:val="00430BA5"/>
    <w:rsid w:val="00434A63"/>
    <w:rsid w:val="0044066C"/>
    <w:rsid w:val="004453E1"/>
    <w:rsid w:val="00447965"/>
    <w:rsid w:val="00452551"/>
    <w:rsid w:val="004529E4"/>
    <w:rsid w:val="00452F3B"/>
    <w:rsid w:val="004539D3"/>
    <w:rsid w:val="004557BB"/>
    <w:rsid w:val="00464A68"/>
    <w:rsid w:val="004650EA"/>
    <w:rsid w:val="0046571B"/>
    <w:rsid w:val="00470F64"/>
    <w:rsid w:val="00473191"/>
    <w:rsid w:val="00477881"/>
    <w:rsid w:val="004779BC"/>
    <w:rsid w:val="004825DF"/>
    <w:rsid w:val="00482FF3"/>
    <w:rsid w:val="00483AD6"/>
    <w:rsid w:val="004850E0"/>
    <w:rsid w:val="00487F4B"/>
    <w:rsid w:val="004926DE"/>
    <w:rsid w:val="00493FD4"/>
    <w:rsid w:val="00494E97"/>
    <w:rsid w:val="004A0B9E"/>
    <w:rsid w:val="004A136C"/>
    <w:rsid w:val="004A1A80"/>
    <w:rsid w:val="004A1F99"/>
    <w:rsid w:val="004A3DD5"/>
    <w:rsid w:val="004A4C7E"/>
    <w:rsid w:val="004A5B5B"/>
    <w:rsid w:val="004A7AD0"/>
    <w:rsid w:val="004B1D98"/>
    <w:rsid w:val="004B2231"/>
    <w:rsid w:val="004B334F"/>
    <w:rsid w:val="004B651F"/>
    <w:rsid w:val="004B6B74"/>
    <w:rsid w:val="004B78EC"/>
    <w:rsid w:val="004C1A2F"/>
    <w:rsid w:val="004C1F9C"/>
    <w:rsid w:val="004C789F"/>
    <w:rsid w:val="004C7C19"/>
    <w:rsid w:val="004D0E86"/>
    <w:rsid w:val="004D1AC4"/>
    <w:rsid w:val="004D1DD7"/>
    <w:rsid w:val="004D3BD2"/>
    <w:rsid w:val="004D3FCA"/>
    <w:rsid w:val="004D5865"/>
    <w:rsid w:val="004E2C16"/>
    <w:rsid w:val="004E3F89"/>
    <w:rsid w:val="004E540B"/>
    <w:rsid w:val="004E66DE"/>
    <w:rsid w:val="004E68E7"/>
    <w:rsid w:val="004E6A39"/>
    <w:rsid w:val="004E78AC"/>
    <w:rsid w:val="004F573F"/>
    <w:rsid w:val="004F5EE8"/>
    <w:rsid w:val="004F7477"/>
    <w:rsid w:val="0050007A"/>
    <w:rsid w:val="0050009B"/>
    <w:rsid w:val="0050208E"/>
    <w:rsid w:val="005033F8"/>
    <w:rsid w:val="0050362B"/>
    <w:rsid w:val="00504603"/>
    <w:rsid w:val="00506DEF"/>
    <w:rsid w:val="00506DFC"/>
    <w:rsid w:val="00512292"/>
    <w:rsid w:val="00513298"/>
    <w:rsid w:val="0052027E"/>
    <w:rsid w:val="00520903"/>
    <w:rsid w:val="005213EC"/>
    <w:rsid w:val="00522D65"/>
    <w:rsid w:val="00524B65"/>
    <w:rsid w:val="00526770"/>
    <w:rsid w:val="00527F98"/>
    <w:rsid w:val="005305DC"/>
    <w:rsid w:val="00535140"/>
    <w:rsid w:val="00535B7B"/>
    <w:rsid w:val="00536466"/>
    <w:rsid w:val="00540FA2"/>
    <w:rsid w:val="005422C5"/>
    <w:rsid w:val="0054346D"/>
    <w:rsid w:val="00544E5C"/>
    <w:rsid w:val="00545BDF"/>
    <w:rsid w:val="00557360"/>
    <w:rsid w:val="00557C1C"/>
    <w:rsid w:val="00557DFE"/>
    <w:rsid w:val="00560F34"/>
    <w:rsid w:val="0056161F"/>
    <w:rsid w:val="00563A27"/>
    <w:rsid w:val="0056463A"/>
    <w:rsid w:val="005651F7"/>
    <w:rsid w:val="00566514"/>
    <w:rsid w:val="0057178E"/>
    <w:rsid w:val="005729E2"/>
    <w:rsid w:val="00575298"/>
    <w:rsid w:val="00577648"/>
    <w:rsid w:val="00577A91"/>
    <w:rsid w:val="005804E3"/>
    <w:rsid w:val="0058131E"/>
    <w:rsid w:val="00582B94"/>
    <w:rsid w:val="005831CD"/>
    <w:rsid w:val="005844F6"/>
    <w:rsid w:val="00584CDD"/>
    <w:rsid w:val="005877DE"/>
    <w:rsid w:val="0059041A"/>
    <w:rsid w:val="00591347"/>
    <w:rsid w:val="00592573"/>
    <w:rsid w:val="0059509B"/>
    <w:rsid w:val="00597887"/>
    <w:rsid w:val="005A4954"/>
    <w:rsid w:val="005A6561"/>
    <w:rsid w:val="005A7F83"/>
    <w:rsid w:val="005B10A3"/>
    <w:rsid w:val="005B5F3F"/>
    <w:rsid w:val="005B7E58"/>
    <w:rsid w:val="005C095F"/>
    <w:rsid w:val="005C121A"/>
    <w:rsid w:val="005C25BF"/>
    <w:rsid w:val="005C48F6"/>
    <w:rsid w:val="005D14EB"/>
    <w:rsid w:val="005D1D02"/>
    <w:rsid w:val="005D2E95"/>
    <w:rsid w:val="005D49EC"/>
    <w:rsid w:val="005E3AD6"/>
    <w:rsid w:val="005E6999"/>
    <w:rsid w:val="005F2F20"/>
    <w:rsid w:val="005F5C63"/>
    <w:rsid w:val="005F7545"/>
    <w:rsid w:val="00600F36"/>
    <w:rsid w:val="006016B6"/>
    <w:rsid w:val="00601F23"/>
    <w:rsid w:val="00602874"/>
    <w:rsid w:val="00603CDD"/>
    <w:rsid w:val="00610110"/>
    <w:rsid w:val="0061042D"/>
    <w:rsid w:val="00611ADC"/>
    <w:rsid w:val="00611CBC"/>
    <w:rsid w:val="00614997"/>
    <w:rsid w:val="00621F5D"/>
    <w:rsid w:val="006220C0"/>
    <w:rsid w:val="006263B6"/>
    <w:rsid w:val="0063228F"/>
    <w:rsid w:val="0063394F"/>
    <w:rsid w:val="00634C49"/>
    <w:rsid w:val="00636E51"/>
    <w:rsid w:val="00640AD4"/>
    <w:rsid w:val="0064225A"/>
    <w:rsid w:val="00645A23"/>
    <w:rsid w:val="006506F0"/>
    <w:rsid w:val="0065123D"/>
    <w:rsid w:val="00654A0C"/>
    <w:rsid w:val="00654F8E"/>
    <w:rsid w:val="00655267"/>
    <w:rsid w:val="006630E3"/>
    <w:rsid w:val="006635C5"/>
    <w:rsid w:val="00665D46"/>
    <w:rsid w:val="006661AB"/>
    <w:rsid w:val="006710C2"/>
    <w:rsid w:val="00671289"/>
    <w:rsid w:val="00671F0D"/>
    <w:rsid w:val="00674616"/>
    <w:rsid w:val="0068214F"/>
    <w:rsid w:val="0068250E"/>
    <w:rsid w:val="006839BE"/>
    <w:rsid w:val="00684D00"/>
    <w:rsid w:val="00684E37"/>
    <w:rsid w:val="006858A9"/>
    <w:rsid w:val="00686C65"/>
    <w:rsid w:val="00691160"/>
    <w:rsid w:val="006921BF"/>
    <w:rsid w:val="00692A90"/>
    <w:rsid w:val="00692DE9"/>
    <w:rsid w:val="006A0200"/>
    <w:rsid w:val="006A4F95"/>
    <w:rsid w:val="006A6890"/>
    <w:rsid w:val="006A6FF2"/>
    <w:rsid w:val="006B19AD"/>
    <w:rsid w:val="006B699F"/>
    <w:rsid w:val="006C04C5"/>
    <w:rsid w:val="006C0B95"/>
    <w:rsid w:val="006C3388"/>
    <w:rsid w:val="006C59DF"/>
    <w:rsid w:val="006C73A7"/>
    <w:rsid w:val="006D06FE"/>
    <w:rsid w:val="006D59AD"/>
    <w:rsid w:val="006D6F13"/>
    <w:rsid w:val="006E0334"/>
    <w:rsid w:val="006E17BF"/>
    <w:rsid w:val="006E309D"/>
    <w:rsid w:val="006E49E0"/>
    <w:rsid w:val="006E4C70"/>
    <w:rsid w:val="006E6A5A"/>
    <w:rsid w:val="006F2DFF"/>
    <w:rsid w:val="006F3B8A"/>
    <w:rsid w:val="006F3CAA"/>
    <w:rsid w:val="006F670E"/>
    <w:rsid w:val="006F68B4"/>
    <w:rsid w:val="006F7FBC"/>
    <w:rsid w:val="007026B8"/>
    <w:rsid w:val="00712BC2"/>
    <w:rsid w:val="00714098"/>
    <w:rsid w:val="00715DCD"/>
    <w:rsid w:val="00717218"/>
    <w:rsid w:val="007206AC"/>
    <w:rsid w:val="00721EEA"/>
    <w:rsid w:val="00723238"/>
    <w:rsid w:val="00724663"/>
    <w:rsid w:val="007252FA"/>
    <w:rsid w:val="00727A0D"/>
    <w:rsid w:val="00732C1D"/>
    <w:rsid w:val="00735979"/>
    <w:rsid w:val="00740F78"/>
    <w:rsid w:val="0074335E"/>
    <w:rsid w:val="0074499F"/>
    <w:rsid w:val="007451EE"/>
    <w:rsid w:val="0075330D"/>
    <w:rsid w:val="007600D3"/>
    <w:rsid w:val="007673AD"/>
    <w:rsid w:val="00770438"/>
    <w:rsid w:val="00775409"/>
    <w:rsid w:val="00777093"/>
    <w:rsid w:val="00777431"/>
    <w:rsid w:val="00780A72"/>
    <w:rsid w:val="00780C3A"/>
    <w:rsid w:val="00783491"/>
    <w:rsid w:val="00791D84"/>
    <w:rsid w:val="0079381A"/>
    <w:rsid w:val="00793C75"/>
    <w:rsid w:val="007A1E60"/>
    <w:rsid w:val="007A3E85"/>
    <w:rsid w:val="007A76D8"/>
    <w:rsid w:val="007B0B75"/>
    <w:rsid w:val="007B1A7D"/>
    <w:rsid w:val="007B4BDB"/>
    <w:rsid w:val="007B6E2A"/>
    <w:rsid w:val="007B77C7"/>
    <w:rsid w:val="007C008F"/>
    <w:rsid w:val="007C026F"/>
    <w:rsid w:val="007C237B"/>
    <w:rsid w:val="007C2DCB"/>
    <w:rsid w:val="007C3640"/>
    <w:rsid w:val="007C584C"/>
    <w:rsid w:val="007D20F2"/>
    <w:rsid w:val="007D459A"/>
    <w:rsid w:val="007D4A94"/>
    <w:rsid w:val="007D6F7D"/>
    <w:rsid w:val="007E470D"/>
    <w:rsid w:val="007E75E5"/>
    <w:rsid w:val="007F0312"/>
    <w:rsid w:val="007F3035"/>
    <w:rsid w:val="007F44C3"/>
    <w:rsid w:val="007F45F3"/>
    <w:rsid w:val="007F56F7"/>
    <w:rsid w:val="007F6370"/>
    <w:rsid w:val="007F7DC6"/>
    <w:rsid w:val="00801EC5"/>
    <w:rsid w:val="00802A08"/>
    <w:rsid w:val="0080389E"/>
    <w:rsid w:val="00805874"/>
    <w:rsid w:val="00806F69"/>
    <w:rsid w:val="00823A21"/>
    <w:rsid w:val="008256DB"/>
    <w:rsid w:val="0082769B"/>
    <w:rsid w:val="00831942"/>
    <w:rsid w:val="00832792"/>
    <w:rsid w:val="00836892"/>
    <w:rsid w:val="00842E26"/>
    <w:rsid w:val="00843A8D"/>
    <w:rsid w:val="00843EC9"/>
    <w:rsid w:val="00852613"/>
    <w:rsid w:val="00853426"/>
    <w:rsid w:val="00853B22"/>
    <w:rsid w:val="008548BC"/>
    <w:rsid w:val="00854B35"/>
    <w:rsid w:val="00861019"/>
    <w:rsid w:val="008669D6"/>
    <w:rsid w:val="00866AD7"/>
    <w:rsid w:val="0087010F"/>
    <w:rsid w:val="00871A4D"/>
    <w:rsid w:val="00873D1D"/>
    <w:rsid w:val="00874C23"/>
    <w:rsid w:val="00875692"/>
    <w:rsid w:val="00877074"/>
    <w:rsid w:val="0087748B"/>
    <w:rsid w:val="00877BF9"/>
    <w:rsid w:val="00880B45"/>
    <w:rsid w:val="00880EED"/>
    <w:rsid w:val="00890286"/>
    <w:rsid w:val="008939DA"/>
    <w:rsid w:val="0089651B"/>
    <w:rsid w:val="00896815"/>
    <w:rsid w:val="00896E43"/>
    <w:rsid w:val="00896EAD"/>
    <w:rsid w:val="00896FE3"/>
    <w:rsid w:val="008A191D"/>
    <w:rsid w:val="008A22A6"/>
    <w:rsid w:val="008A50B1"/>
    <w:rsid w:val="008B0AAA"/>
    <w:rsid w:val="008B1952"/>
    <w:rsid w:val="008B1B1A"/>
    <w:rsid w:val="008B3718"/>
    <w:rsid w:val="008B54AE"/>
    <w:rsid w:val="008C11C9"/>
    <w:rsid w:val="008C1478"/>
    <w:rsid w:val="008C39BD"/>
    <w:rsid w:val="008C4426"/>
    <w:rsid w:val="008C7188"/>
    <w:rsid w:val="008D1B23"/>
    <w:rsid w:val="008D218D"/>
    <w:rsid w:val="008D3958"/>
    <w:rsid w:val="008D75C1"/>
    <w:rsid w:val="008D7E3C"/>
    <w:rsid w:val="008E09E5"/>
    <w:rsid w:val="008E4C78"/>
    <w:rsid w:val="008F45C7"/>
    <w:rsid w:val="0090316B"/>
    <w:rsid w:val="0090387A"/>
    <w:rsid w:val="009051F3"/>
    <w:rsid w:val="00907E65"/>
    <w:rsid w:val="0091479C"/>
    <w:rsid w:val="00915AAA"/>
    <w:rsid w:val="00920282"/>
    <w:rsid w:val="00922326"/>
    <w:rsid w:val="00926A99"/>
    <w:rsid w:val="00931520"/>
    <w:rsid w:val="0093323A"/>
    <w:rsid w:val="009357CB"/>
    <w:rsid w:val="009363E9"/>
    <w:rsid w:val="00937D3B"/>
    <w:rsid w:val="0095190B"/>
    <w:rsid w:val="00956436"/>
    <w:rsid w:val="00963621"/>
    <w:rsid w:val="0096518B"/>
    <w:rsid w:val="009660A0"/>
    <w:rsid w:val="00967437"/>
    <w:rsid w:val="0097277F"/>
    <w:rsid w:val="00972F02"/>
    <w:rsid w:val="009747EF"/>
    <w:rsid w:val="00974B5E"/>
    <w:rsid w:val="00983B30"/>
    <w:rsid w:val="0098490A"/>
    <w:rsid w:val="009851FB"/>
    <w:rsid w:val="0098589C"/>
    <w:rsid w:val="00996F87"/>
    <w:rsid w:val="00997127"/>
    <w:rsid w:val="009B30F1"/>
    <w:rsid w:val="009B4B2A"/>
    <w:rsid w:val="009B654A"/>
    <w:rsid w:val="009B6E6D"/>
    <w:rsid w:val="009B7543"/>
    <w:rsid w:val="009C23B6"/>
    <w:rsid w:val="009C4B41"/>
    <w:rsid w:val="009C6EB1"/>
    <w:rsid w:val="009D160B"/>
    <w:rsid w:val="009D2070"/>
    <w:rsid w:val="009D39BD"/>
    <w:rsid w:val="009E2481"/>
    <w:rsid w:val="009E4D2C"/>
    <w:rsid w:val="009E5066"/>
    <w:rsid w:val="009E6338"/>
    <w:rsid w:val="009E6496"/>
    <w:rsid w:val="009E7353"/>
    <w:rsid w:val="009F1682"/>
    <w:rsid w:val="009F2565"/>
    <w:rsid w:val="009F2C3F"/>
    <w:rsid w:val="009F6291"/>
    <w:rsid w:val="009F7300"/>
    <w:rsid w:val="00A002CB"/>
    <w:rsid w:val="00A00C0A"/>
    <w:rsid w:val="00A01584"/>
    <w:rsid w:val="00A02432"/>
    <w:rsid w:val="00A03CDF"/>
    <w:rsid w:val="00A0602E"/>
    <w:rsid w:val="00A1047B"/>
    <w:rsid w:val="00A105FE"/>
    <w:rsid w:val="00A129BC"/>
    <w:rsid w:val="00A14719"/>
    <w:rsid w:val="00A149E7"/>
    <w:rsid w:val="00A1585A"/>
    <w:rsid w:val="00A168E6"/>
    <w:rsid w:val="00A16AA2"/>
    <w:rsid w:val="00A17014"/>
    <w:rsid w:val="00A2382B"/>
    <w:rsid w:val="00A24047"/>
    <w:rsid w:val="00A32047"/>
    <w:rsid w:val="00A335EF"/>
    <w:rsid w:val="00A340A6"/>
    <w:rsid w:val="00A372AE"/>
    <w:rsid w:val="00A37FED"/>
    <w:rsid w:val="00A408F6"/>
    <w:rsid w:val="00A431B1"/>
    <w:rsid w:val="00A46982"/>
    <w:rsid w:val="00A518D0"/>
    <w:rsid w:val="00A51E08"/>
    <w:rsid w:val="00A520D6"/>
    <w:rsid w:val="00A572C7"/>
    <w:rsid w:val="00A57BF6"/>
    <w:rsid w:val="00A6105A"/>
    <w:rsid w:val="00A62745"/>
    <w:rsid w:val="00A62DEE"/>
    <w:rsid w:val="00A6331A"/>
    <w:rsid w:val="00A66FC9"/>
    <w:rsid w:val="00A706D8"/>
    <w:rsid w:val="00A70CAB"/>
    <w:rsid w:val="00A76B6B"/>
    <w:rsid w:val="00A76F6E"/>
    <w:rsid w:val="00A77E64"/>
    <w:rsid w:val="00A806EF"/>
    <w:rsid w:val="00A81B0B"/>
    <w:rsid w:val="00A84F0A"/>
    <w:rsid w:val="00A94AE6"/>
    <w:rsid w:val="00A95450"/>
    <w:rsid w:val="00A96618"/>
    <w:rsid w:val="00AA073B"/>
    <w:rsid w:val="00AA189E"/>
    <w:rsid w:val="00AA2B16"/>
    <w:rsid w:val="00AA2B28"/>
    <w:rsid w:val="00AA2D7D"/>
    <w:rsid w:val="00AA5DAB"/>
    <w:rsid w:val="00AB19A2"/>
    <w:rsid w:val="00AB4D9F"/>
    <w:rsid w:val="00AB55EF"/>
    <w:rsid w:val="00AC065B"/>
    <w:rsid w:val="00AC09AF"/>
    <w:rsid w:val="00AC18F6"/>
    <w:rsid w:val="00AC2AF5"/>
    <w:rsid w:val="00AC2E41"/>
    <w:rsid w:val="00AC4F12"/>
    <w:rsid w:val="00AC4F5C"/>
    <w:rsid w:val="00AC5990"/>
    <w:rsid w:val="00AC68B6"/>
    <w:rsid w:val="00AC7CE4"/>
    <w:rsid w:val="00AD0BF7"/>
    <w:rsid w:val="00AD0E02"/>
    <w:rsid w:val="00AD202C"/>
    <w:rsid w:val="00AD388B"/>
    <w:rsid w:val="00AE03C7"/>
    <w:rsid w:val="00AE5CE8"/>
    <w:rsid w:val="00AF0132"/>
    <w:rsid w:val="00B00FCA"/>
    <w:rsid w:val="00B0256C"/>
    <w:rsid w:val="00B05DD7"/>
    <w:rsid w:val="00B079E7"/>
    <w:rsid w:val="00B104C1"/>
    <w:rsid w:val="00B14152"/>
    <w:rsid w:val="00B22EC9"/>
    <w:rsid w:val="00B26F35"/>
    <w:rsid w:val="00B27DFC"/>
    <w:rsid w:val="00B301C5"/>
    <w:rsid w:val="00B318A6"/>
    <w:rsid w:val="00B344F1"/>
    <w:rsid w:val="00B373D0"/>
    <w:rsid w:val="00B373F5"/>
    <w:rsid w:val="00B416B0"/>
    <w:rsid w:val="00B42674"/>
    <w:rsid w:val="00B45B47"/>
    <w:rsid w:val="00B47C8B"/>
    <w:rsid w:val="00B54D15"/>
    <w:rsid w:val="00B63368"/>
    <w:rsid w:val="00B661D4"/>
    <w:rsid w:val="00B67251"/>
    <w:rsid w:val="00B6796C"/>
    <w:rsid w:val="00B67C47"/>
    <w:rsid w:val="00B72C93"/>
    <w:rsid w:val="00B74B92"/>
    <w:rsid w:val="00B8082D"/>
    <w:rsid w:val="00B85549"/>
    <w:rsid w:val="00B85FB5"/>
    <w:rsid w:val="00B86873"/>
    <w:rsid w:val="00B9201A"/>
    <w:rsid w:val="00B9493B"/>
    <w:rsid w:val="00B96FE0"/>
    <w:rsid w:val="00B97478"/>
    <w:rsid w:val="00BA35A4"/>
    <w:rsid w:val="00BA5057"/>
    <w:rsid w:val="00BA62B8"/>
    <w:rsid w:val="00BB1694"/>
    <w:rsid w:val="00BB1F2C"/>
    <w:rsid w:val="00BB352B"/>
    <w:rsid w:val="00BB48F0"/>
    <w:rsid w:val="00BB4B36"/>
    <w:rsid w:val="00BB5DD9"/>
    <w:rsid w:val="00BB7AE6"/>
    <w:rsid w:val="00BC728F"/>
    <w:rsid w:val="00BD2EB9"/>
    <w:rsid w:val="00BD3770"/>
    <w:rsid w:val="00BD6FE8"/>
    <w:rsid w:val="00BD7077"/>
    <w:rsid w:val="00BE025A"/>
    <w:rsid w:val="00BE15ED"/>
    <w:rsid w:val="00BF0B17"/>
    <w:rsid w:val="00BF2103"/>
    <w:rsid w:val="00BF4D5C"/>
    <w:rsid w:val="00BF7FA5"/>
    <w:rsid w:val="00C0311A"/>
    <w:rsid w:val="00C033DF"/>
    <w:rsid w:val="00C04EF2"/>
    <w:rsid w:val="00C05676"/>
    <w:rsid w:val="00C07D93"/>
    <w:rsid w:val="00C11434"/>
    <w:rsid w:val="00C1523A"/>
    <w:rsid w:val="00C16D8E"/>
    <w:rsid w:val="00C20580"/>
    <w:rsid w:val="00C2092F"/>
    <w:rsid w:val="00C20CA0"/>
    <w:rsid w:val="00C257DD"/>
    <w:rsid w:val="00C263C9"/>
    <w:rsid w:val="00C26EBD"/>
    <w:rsid w:val="00C273FD"/>
    <w:rsid w:val="00C27B2A"/>
    <w:rsid w:val="00C3012D"/>
    <w:rsid w:val="00C312F7"/>
    <w:rsid w:val="00C3277B"/>
    <w:rsid w:val="00C34C51"/>
    <w:rsid w:val="00C34F45"/>
    <w:rsid w:val="00C34FD8"/>
    <w:rsid w:val="00C3590F"/>
    <w:rsid w:val="00C35A56"/>
    <w:rsid w:val="00C377BA"/>
    <w:rsid w:val="00C42338"/>
    <w:rsid w:val="00C42D06"/>
    <w:rsid w:val="00C444C7"/>
    <w:rsid w:val="00C45E76"/>
    <w:rsid w:val="00C46D98"/>
    <w:rsid w:val="00C521AD"/>
    <w:rsid w:val="00C56077"/>
    <w:rsid w:val="00C56E67"/>
    <w:rsid w:val="00C64547"/>
    <w:rsid w:val="00C65725"/>
    <w:rsid w:val="00C700DF"/>
    <w:rsid w:val="00C703FD"/>
    <w:rsid w:val="00C73A17"/>
    <w:rsid w:val="00C76A28"/>
    <w:rsid w:val="00C81934"/>
    <w:rsid w:val="00C853DB"/>
    <w:rsid w:val="00C87EFF"/>
    <w:rsid w:val="00C9096B"/>
    <w:rsid w:val="00C94126"/>
    <w:rsid w:val="00C97274"/>
    <w:rsid w:val="00C97290"/>
    <w:rsid w:val="00CA5277"/>
    <w:rsid w:val="00CA6D34"/>
    <w:rsid w:val="00CA780A"/>
    <w:rsid w:val="00CB36C9"/>
    <w:rsid w:val="00CB4BF6"/>
    <w:rsid w:val="00CC03E5"/>
    <w:rsid w:val="00CC051F"/>
    <w:rsid w:val="00CC7DE5"/>
    <w:rsid w:val="00CD491A"/>
    <w:rsid w:val="00CF5865"/>
    <w:rsid w:val="00D0031C"/>
    <w:rsid w:val="00D00540"/>
    <w:rsid w:val="00D020C7"/>
    <w:rsid w:val="00D04D73"/>
    <w:rsid w:val="00D04DE7"/>
    <w:rsid w:val="00D12005"/>
    <w:rsid w:val="00D12681"/>
    <w:rsid w:val="00D13176"/>
    <w:rsid w:val="00D1331B"/>
    <w:rsid w:val="00D141F0"/>
    <w:rsid w:val="00D24D6D"/>
    <w:rsid w:val="00D27C3D"/>
    <w:rsid w:val="00D304F3"/>
    <w:rsid w:val="00D33580"/>
    <w:rsid w:val="00D33CD4"/>
    <w:rsid w:val="00D3510D"/>
    <w:rsid w:val="00D354F4"/>
    <w:rsid w:val="00D37DA4"/>
    <w:rsid w:val="00D4011B"/>
    <w:rsid w:val="00D40DDD"/>
    <w:rsid w:val="00D44EB4"/>
    <w:rsid w:val="00D45296"/>
    <w:rsid w:val="00D4793B"/>
    <w:rsid w:val="00D509A6"/>
    <w:rsid w:val="00D54AD9"/>
    <w:rsid w:val="00D5581B"/>
    <w:rsid w:val="00D60B5B"/>
    <w:rsid w:val="00D631EC"/>
    <w:rsid w:val="00D6672B"/>
    <w:rsid w:val="00D850DE"/>
    <w:rsid w:val="00D852C6"/>
    <w:rsid w:val="00D870A7"/>
    <w:rsid w:val="00D9191C"/>
    <w:rsid w:val="00D9242A"/>
    <w:rsid w:val="00D926F3"/>
    <w:rsid w:val="00D94FAC"/>
    <w:rsid w:val="00DA0685"/>
    <w:rsid w:val="00DA1396"/>
    <w:rsid w:val="00DA268C"/>
    <w:rsid w:val="00DA3253"/>
    <w:rsid w:val="00DB1CFF"/>
    <w:rsid w:val="00DB41AC"/>
    <w:rsid w:val="00DB675D"/>
    <w:rsid w:val="00DC2EA4"/>
    <w:rsid w:val="00DC4E56"/>
    <w:rsid w:val="00DC5311"/>
    <w:rsid w:val="00DC5730"/>
    <w:rsid w:val="00DC57E3"/>
    <w:rsid w:val="00DD3848"/>
    <w:rsid w:val="00DD40D5"/>
    <w:rsid w:val="00DD5F4E"/>
    <w:rsid w:val="00DE1403"/>
    <w:rsid w:val="00DE2585"/>
    <w:rsid w:val="00DE4C1E"/>
    <w:rsid w:val="00DF26B8"/>
    <w:rsid w:val="00DF48D0"/>
    <w:rsid w:val="00DF7257"/>
    <w:rsid w:val="00E004C3"/>
    <w:rsid w:val="00E026B1"/>
    <w:rsid w:val="00E0702A"/>
    <w:rsid w:val="00E07B84"/>
    <w:rsid w:val="00E161AC"/>
    <w:rsid w:val="00E167F4"/>
    <w:rsid w:val="00E16EAA"/>
    <w:rsid w:val="00E2201C"/>
    <w:rsid w:val="00E22503"/>
    <w:rsid w:val="00E26396"/>
    <w:rsid w:val="00E2734E"/>
    <w:rsid w:val="00E31B25"/>
    <w:rsid w:val="00E346CB"/>
    <w:rsid w:val="00E36561"/>
    <w:rsid w:val="00E44D2F"/>
    <w:rsid w:val="00E46468"/>
    <w:rsid w:val="00E46CBB"/>
    <w:rsid w:val="00E47E1D"/>
    <w:rsid w:val="00E47E32"/>
    <w:rsid w:val="00E51CE7"/>
    <w:rsid w:val="00E56E78"/>
    <w:rsid w:val="00E63FF1"/>
    <w:rsid w:val="00E65111"/>
    <w:rsid w:val="00E65982"/>
    <w:rsid w:val="00E7124D"/>
    <w:rsid w:val="00E72DDA"/>
    <w:rsid w:val="00E73060"/>
    <w:rsid w:val="00E74C91"/>
    <w:rsid w:val="00E75386"/>
    <w:rsid w:val="00E755CB"/>
    <w:rsid w:val="00E76D57"/>
    <w:rsid w:val="00E82BBF"/>
    <w:rsid w:val="00E924E1"/>
    <w:rsid w:val="00E92690"/>
    <w:rsid w:val="00E92B9A"/>
    <w:rsid w:val="00E96995"/>
    <w:rsid w:val="00E969BF"/>
    <w:rsid w:val="00EA0405"/>
    <w:rsid w:val="00EA1CBC"/>
    <w:rsid w:val="00EA280F"/>
    <w:rsid w:val="00EA65DC"/>
    <w:rsid w:val="00EB3381"/>
    <w:rsid w:val="00EB5738"/>
    <w:rsid w:val="00EB62D0"/>
    <w:rsid w:val="00EC2419"/>
    <w:rsid w:val="00EC4B9D"/>
    <w:rsid w:val="00EC5ED5"/>
    <w:rsid w:val="00EC6B9F"/>
    <w:rsid w:val="00ED20C5"/>
    <w:rsid w:val="00ED2A19"/>
    <w:rsid w:val="00ED5722"/>
    <w:rsid w:val="00ED58CB"/>
    <w:rsid w:val="00ED5D2B"/>
    <w:rsid w:val="00ED7E01"/>
    <w:rsid w:val="00EE4395"/>
    <w:rsid w:val="00EF0CFA"/>
    <w:rsid w:val="00EF16DE"/>
    <w:rsid w:val="00F0086F"/>
    <w:rsid w:val="00F0092B"/>
    <w:rsid w:val="00F00BF2"/>
    <w:rsid w:val="00F03326"/>
    <w:rsid w:val="00F04B11"/>
    <w:rsid w:val="00F06887"/>
    <w:rsid w:val="00F07003"/>
    <w:rsid w:val="00F13438"/>
    <w:rsid w:val="00F15DBD"/>
    <w:rsid w:val="00F16616"/>
    <w:rsid w:val="00F24786"/>
    <w:rsid w:val="00F26022"/>
    <w:rsid w:val="00F30110"/>
    <w:rsid w:val="00F31582"/>
    <w:rsid w:val="00F333CC"/>
    <w:rsid w:val="00F34871"/>
    <w:rsid w:val="00F350FD"/>
    <w:rsid w:val="00F35E72"/>
    <w:rsid w:val="00F35F5B"/>
    <w:rsid w:val="00F37414"/>
    <w:rsid w:val="00F400ED"/>
    <w:rsid w:val="00F412C5"/>
    <w:rsid w:val="00F41351"/>
    <w:rsid w:val="00F47C3D"/>
    <w:rsid w:val="00F50932"/>
    <w:rsid w:val="00F522F3"/>
    <w:rsid w:val="00F5742F"/>
    <w:rsid w:val="00F62DD6"/>
    <w:rsid w:val="00F65842"/>
    <w:rsid w:val="00F678BD"/>
    <w:rsid w:val="00F70E76"/>
    <w:rsid w:val="00F77B47"/>
    <w:rsid w:val="00F8268B"/>
    <w:rsid w:val="00F83BC2"/>
    <w:rsid w:val="00F85A5F"/>
    <w:rsid w:val="00F91173"/>
    <w:rsid w:val="00F926EE"/>
    <w:rsid w:val="00F96F07"/>
    <w:rsid w:val="00FA01C5"/>
    <w:rsid w:val="00FA1A6B"/>
    <w:rsid w:val="00FA1C75"/>
    <w:rsid w:val="00FA6F0A"/>
    <w:rsid w:val="00FA791C"/>
    <w:rsid w:val="00FB4C04"/>
    <w:rsid w:val="00FB7223"/>
    <w:rsid w:val="00FC1FE1"/>
    <w:rsid w:val="00FC26AD"/>
    <w:rsid w:val="00FC2CD6"/>
    <w:rsid w:val="00FC2E1A"/>
    <w:rsid w:val="00FC3EE1"/>
    <w:rsid w:val="00FC4158"/>
    <w:rsid w:val="00FC5851"/>
    <w:rsid w:val="00FC7E71"/>
    <w:rsid w:val="00FD1BC2"/>
    <w:rsid w:val="00FD2689"/>
    <w:rsid w:val="00FD3142"/>
    <w:rsid w:val="00FD42B5"/>
    <w:rsid w:val="00FD7257"/>
    <w:rsid w:val="00FE0CF5"/>
    <w:rsid w:val="00FE3045"/>
    <w:rsid w:val="00FE449B"/>
    <w:rsid w:val="00FF32F5"/>
    <w:rsid w:val="00FF760C"/>
    <w:rsid w:val="025E4FF6"/>
    <w:rsid w:val="042309DD"/>
    <w:rsid w:val="05F4FBB0"/>
    <w:rsid w:val="0961E566"/>
    <w:rsid w:val="0985A248"/>
    <w:rsid w:val="0BEC0985"/>
    <w:rsid w:val="0E134262"/>
    <w:rsid w:val="0F002D83"/>
    <w:rsid w:val="114021DB"/>
    <w:rsid w:val="123A03A0"/>
    <w:rsid w:val="161EF754"/>
    <w:rsid w:val="16B58F8C"/>
    <w:rsid w:val="1768D79D"/>
    <w:rsid w:val="1E261B34"/>
    <w:rsid w:val="21172695"/>
    <w:rsid w:val="230F09C2"/>
    <w:rsid w:val="25501848"/>
    <w:rsid w:val="25A99115"/>
    <w:rsid w:val="266A972E"/>
    <w:rsid w:val="2873F527"/>
    <w:rsid w:val="2C5821A7"/>
    <w:rsid w:val="2D9CB02D"/>
    <w:rsid w:val="31D2E618"/>
    <w:rsid w:val="35831C88"/>
    <w:rsid w:val="3629B336"/>
    <w:rsid w:val="365B5609"/>
    <w:rsid w:val="3AEA5A8A"/>
    <w:rsid w:val="3E3F6116"/>
    <w:rsid w:val="3FDE6040"/>
    <w:rsid w:val="40D5C9C4"/>
    <w:rsid w:val="414AE963"/>
    <w:rsid w:val="4251B61A"/>
    <w:rsid w:val="4E00698C"/>
    <w:rsid w:val="56D901BA"/>
    <w:rsid w:val="57680444"/>
    <w:rsid w:val="57CBCB70"/>
    <w:rsid w:val="58B095DF"/>
    <w:rsid w:val="5BDDCEB8"/>
    <w:rsid w:val="5E276B56"/>
    <w:rsid w:val="632EACD5"/>
    <w:rsid w:val="63BEC6CC"/>
    <w:rsid w:val="69465D79"/>
    <w:rsid w:val="6AD55999"/>
    <w:rsid w:val="72D98949"/>
    <w:rsid w:val="73530C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AA07E"/>
  <w15:docId w15:val="{09136EB6-560B-41BE-A665-5CE4026D8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801"/>
    <w:rPr>
      <w:rFonts w:ascii="Corbel" w:hAnsi="Corbel"/>
      <w:sz w:val="22"/>
    </w:rPr>
  </w:style>
  <w:style w:type="paragraph" w:styleId="Heading1">
    <w:name w:val="heading 1"/>
    <w:basedOn w:val="Normal"/>
    <w:next w:val="Normal"/>
    <w:link w:val="Heading1Char"/>
    <w:uiPriority w:val="9"/>
    <w:qFormat/>
    <w:rsid w:val="000C3D74"/>
    <w:pPr>
      <w:outlineLvl w:val="0"/>
    </w:pPr>
    <w:rPr>
      <w:b/>
      <w:bCs/>
      <w:sz w:val="28"/>
      <w:szCs w:val="28"/>
    </w:rPr>
  </w:style>
  <w:style w:type="paragraph" w:styleId="Heading2">
    <w:name w:val="heading 2"/>
    <w:basedOn w:val="Normal"/>
    <w:next w:val="Normal"/>
    <w:link w:val="Heading2Char"/>
    <w:qFormat/>
    <w:rsid w:val="00AD388B"/>
    <w:pPr>
      <w:outlineLvl w:val="1"/>
    </w:pPr>
    <w:rPr>
      <w:b/>
      <w:sz w:val="24"/>
      <w:szCs w:val="22"/>
    </w:rPr>
  </w:style>
  <w:style w:type="paragraph" w:styleId="Heading3">
    <w:name w:val="heading 3"/>
    <w:basedOn w:val="Normal"/>
    <w:next w:val="Normal"/>
    <w:link w:val="Heading3Char"/>
    <w:uiPriority w:val="9"/>
    <w:semiHidden/>
    <w:unhideWhenUsed/>
    <w:qFormat/>
    <w:rsid w:val="000313B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0233"/>
    <w:rPr>
      <w:rFonts w:ascii="Tahoma" w:hAnsi="Tahoma" w:cs="Tahoma"/>
      <w:sz w:val="16"/>
      <w:szCs w:val="16"/>
    </w:rPr>
  </w:style>
  <w:style w:type="character" w:customStyle="1" w:styleId="BalloonTextChar">
    <w:name w:val="Balloon Text Char"/>
    <w:basedOn w:val="DefaultParagraphFont"/>
    <w:link w:val="BalloonText"/>
    <w:uiPriority w:val="99"/>
    <w:semiHidden/>
    <w:rsid w:val="00200233"/>
    <w:rPr>
      <w:rFonts w:ascii="Tahoma" w:hAnsi="Tahoma" w:cs="Tahoma"/>
      <w:sz w:val="16"/>
      <w:szCs w:val="16"/>
    </w:rPr>
  </w:style>
  <w:style w:type="character" w:styleId="FootnoteReference">
    <w:name w:val="footnote reference"/>
    <w:basedOn w:val="DefaultParagraphFont"/>
    <w:semiHidden/>
    <w:rsid w:val="002217E7"/>
    <w:rPr>
      <w:vertAlign w:val="superscript"/>
    </w:rPr>
  </w:style>
  <w:style w:type="paragraph" w:styleId="BodyText">
    <w:name w:val="Body Text"/>
    <w:basedOn w:val="Normal"/>
    <w:link w:val="BodyTextChar"/>
    <w:semiHidden/>
    <w:rsid w:val="00967437"/>
    <w:rPr>
      <w:rFonts w:ascii="Arial" w:eastAsia="Times New Roman" w:hAnsi="Arial" w:cs="Arial"/>
      <w:szCs w:val="24"/>
    </w:rPr>
  </w:style>
  <w:style w:type="character" w:customStyle="1" w:styleId="BodyTextChar">
    <w:name w:val="Body Text Char"/>
    <w:basedOn w:val="DefaultParagraphFont"/>
    <w:link w:val="BodyText"/>
    <w:semiHidden/>
    <w:rsid w:val="00967437"/>
    <w:rPr>
      <w:rFonts w:ascii="Arial" w:eastAsia="Times New Roman" w:hAnsi="Arial" w:cs="Arial"/>
      <w:sz w:val="22"/>
      <w:szCs w:val="24"/>
    </w:rPr>
  </w:style>
  <w:style w:type="paragraph" w:styleId="BodyTextIndent">
    <w:name w:val="Body Text Indent"/>
    <w:basedOn w:val="Normal"/>
    <w:link w:val="BodyTextIndentChar"/>
    <w:uiPriority w:val="99"/>
    <w:semiHidden/>
    <w:unhideWhenUsed/>
    <w:rsid w:val="00967437"/>
    <w:pPr>
      <w:spacing w:after="120"/>
      <w:ind w:left="283"/>
    </w:pPr>
  </w:style>
  <w:style w:type="character" w:customStyle="1" w:styleId="BodyTextIndentChar">
    <w:name w:val="Body Text Indent Char"/>
    <w:basedOn w:val="DefaultParagraphFont"/>
    <w:link w:val="BodyTextIndent"/>
    <w:uiPriority w:val="99"/>
    <w:semiHidden/>
    <w:rsid w:val="00967437"/>
  </w:style>
  <w:style w:type="paragraph" w:styleId="BodyTextIndent2">
    <w:name w:val="Body Text Indent 2"/>
    <w:basedOn w:val="Normal"/>
    <w:link w:val="BodyTextIndent2Char"/>
    <w:uiPriority w:val="99"/>
    <w:semiHidden/>
    <w:unhideWhenUsed/>
    <w:rsid w:val="00967437"/>
    <w:pPr>
      <w:spacing w:after="120" w:line="480" w:lineRule="auto"/>
      <w:ind w:left="283"/>
    </w:pPr>
  </w:style>
  <w:style w:type="character" w:customStyle="1" w:styleId="BodyTextIndent2Char">
    <w:name w:val="Body Text Indent 2 Char"/>
    <w:basedOn w:val="DefaultParagraphFont"/>
    <w:link w:val="BodyTextIndent2"/>
    <w:uiPriority w:val="99"/>
    <w:semiHidden/>
    <w:rsid w:val="00967437"/>
  </w:style>
  <w:style w:type="character" w:customStyle="1" w:styleId="Heading2Char">
    <w:name w:val="Heading 2 Char"/>
    <w:basedOn w:val="DefaultParagraphFont"/>
    <w:link w:val="Heading2"/>
    <w:rsid w:val="00AD388B"/>
    <w:rPr>
      <w:rFonts w:ascii="Corbel" w:hAnsi="Corbel"/>
      <w:b/>
      <w:sz w:val="24"/>
      <w:szCs w:val="22"/>
    </w:rPr>
  </w:style>
  <w:style w:type="paragraph" w:styleId="Revision">
    <w:name w:val="Revision"/>
    <w:hidden/>
    <w:uiPriority w:val="99"/>
    <w:semiHidden/>
    <w:rsid w:val="001778D5"/>
  </w:style>
  <w:style w:type="table" w:styleId="TableGrid">
    <w:name w:val="Table Grid"/>
    <w:basedOn w:val="TableNormal"/>
    <w:uiPriority w:val="59"/>
    <w:rsid w:val="004C1A2F"/>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E56"/>
    <w:rPr>
      <w:sz w:val="16"/>
      <w:szCs w:val="16"/>
    </w:rPr>
  </w:style>
  <w:style w:type="paragraph" w:styleId="CommentText">
    <w:name w:val="annotation text"/>
    <w:basedOn w:val="Normal"/>
    <w:link w:val="CommentTextChar"/>
    <w:uiPriority w:val="99"/>
    <w:unhideWhenUsed/>
    <w:rsid w:val="00DC4E56"/>
  </w:style>
  <w:style w:type="character" w:customStyle="1" w:styleId="CommentTextChar">
    <w:name w:val="Comment Text Char"/>
    <w:basedOn w:val="DefaultParagraphFont"/>
    <w:link w:val="CommentText"/>
    <w:uiPriority w:val="99"/>
    <w:rsid w:val="00DC4E56"/>
  </w:style>
  <w:style w:type="paragraph" w:styleId="CommentSubject">
    <w:name w:val="annotation subject"/>
    <w:basedOn w:val="CommentText"/>
    <w:next w:val="CommentText"/>
    <w:link w:val="CommentSubjectChar"/>
    <w:uiPriority w:val="99"/>
    <w:semiHidden/>
    <w:unhideWhenUsed/>
    <w:rsid w:val="00DC4E56"/>
    <w:rPr>
      <w:b/>
      <w:bCs/>
    </w:rPr>
  </w:style>
  <w:style w:type="character" w:customStyle="1" w:styleId="CommentSubjectChar">
    <w:name w:val="Comment Subject Char"/>
    <w:basedOn w:val="CommentTextChar"/>
    <w:link w:val="CommentSubject"/>
    <w:uiPriority w:val="99"/>
    <w:semiHidden/>
    <w:rsid w:val="00DC4E56"/>
    <w:rPr>
      <w:b/>
      <w:bCs/>
    </w:rPr>
  </w:style>
  <w:style w:type="paragraph" w:styleId="FootnoteText">
    <w:name w:val="footnote text"/>
    <w:basedOn w:val="Normal"/>
    <w:link w:val="FootnoteTextChar"/>
    <w:uiPriority w:val="99"/>
    <w:semiHidden/>
    <w:unhideWhenUsed/>
    <w:rsid w:val="00217A8F"/>
  </w:style>
  <w:style w:type="character" w:customStyle="1" w:styleId="FootnoteTextChar">
    <w:name w:val="Footnote Text Char"/>
    <w:basedOn w:val="DefaultParagraphFont"/>
    <w:link w:val="FootnoteText"/>
    <w:uiPriority w:val="99"/>
    <w:semiHidden/>
    <w:rsid w:val="00217A8F"/>
  </w:style>
  <w:style w:type="paragraph" w:styleId="Title">
    <w:name w:val="Title"/>
    <w:basedOn w:val="Normal"/>
    <w:next w:val="Normal"/>
    <w:link w:val="TitleChar"/>
    <w:uiPriority w:val="10"/>
    <w:qFormat/>
    <w:rsid w:val="000C3D74"/>
    <w:pPr>
      <w:contextualSpacing/>
    </w:pPr>
    <w:rPr>
      <w:rFonts w:eastAsiaTheme="majorEastAsia" w:cstheme="majorBidi"/>
      <w:b/>
      <w:spacing w:val="-10"/>
      <w:kern w:val="28"/>
      <w:sz w:val="48"/>
      <w:szCs w:val="56"/>
    </w:rPr>
  </w:style>
  <w:style w:type="character" w:customStyle="1" w:styleId="TitleChar">
    <w:name w:val="Title Char"/>
    <w:basedOn w:val="DefaultParagraphFont"/>
    <w:link w:val="Title"/>
    <w:uiPriority w:val="10"/>
    <w:rsid w:val="000C3D74"/>
    <w:rPr>
      <w:rFonts w:ascii="Corbel" w:eastAsiaTheme="majorEastAsia" w:hAnsi="Corbel" w:cstheme="majorBidi"/>
      <w:b/>
      <w:spacing w:val="-10"/>
      <w:kern w:val="28"/>
      <w:sz w:val="48"/>
      <w:szCs w:val="56"/>
    </w:rPr>
  </w:style>
  <w:style w:type="character" w:customStyle="1" w:styleId="Heading1Char">
    <w:name w:val="Heading 1 Char"/>
    <w:basedOn w:val="DefaultParagraphFont"/>
    <w:link w:val="Heading1"/>
    <w:uiPriority w:val="9"/>
    <w:rsid w:val="000C3D74"/>
    <w:rPr>
      <w:rFonts w:ascii="Corbel" w:hAnsi="Corbel"/>
      <w:b/>
      <w:bCs/>
      <w:sz w:val="28"/>
      <w:szCs w:val="28"/>
    </w:rPr>
  </w:style>
  <w:style w:type="character" w:styleId="UnresolvedMention">
    <w:name w:val="Unresolved Mention"/>
    <w:basedOn w:val="DefaultParagraphFont"/>
    <w:uiPriority w:val="99"/>
    <w:semiHidden/>
    <w:unhideWhenUsed/>
    <w:rsid w:val="009B6E6D"/>
    <w:rPr>
      <w:color w:val="605E5C"/>
      <w:shd w:val="clear" w:color="auto" w:fill="E1DFDD"/>
    </w:rPr>
  </w:style>
  <w:style w:type="paragraph" w:styleId="Header">
    <w:name w:val="header"/>
    <w:basedOn w:val="Normal"/>
    <w:link w:val="HeaderChar"/>
    <w:uiPriority w:val="99"/>
    <w:unhideWhenUsed/>
    <w:rsid w:val="00E2734E"/>
    <w:pPr>
      <w:tabs>
        <w:tab w:val="center" w:pos="4513"/>
        <w:tab w:val="right" w:pos="9026"/>
      </w:tabs>
    </w:pPr>
  </w:style>
  <w:style w:type="character" w:customStyle="1" w:styleId="HeaderChar">
    <w:name w:val="Header Char"/>
    <w:basedOn w:val="DefaultParagraphFont"/>
    <w:link w:val="Header"/>
    <w:uiPriority w:val="99"/>
    <w:rsid w:val="00E2734E"/>
    <w:rPr>
      <w:rFonts w:ascii="Corbel" w:hAnsi="Corbel"/>
      <w:sz w:val="22"/>
    </w:rPr>
  </w:style>
  <w:style w:type="paragraph" w:styleId="Footer">
    <w:name w:val="footer"/>
    <w:basedOn w:val="Normal"/>
    <w:link w:val="FooterChar"/>
    <w:uiPriority w:val="99"/>
    <w:unhideWhenUsed/>
    <w:rsid w:val="00E2734E"/>
    <w:pPr>
      <w:tabs>
        <w:tab w:val="center" w:pos="4513"/>
        <w:tab w:val="right" w:pos="9026"/>
      </w:tabs>
    </w:pPr>
  </w:style>
  <w:style w:type="character" w:customStyle="1" w:styleId="FooterChar">
    <w:name w:val="Footer Char"/>
    <w:basedOn w:val="DefaultParagraphFont"/>
    <w:link w:val="Footer"/>
    <w:uiPriority w:val="99"/>
    <w:rsid w:val="00E2734E"/>
    <w:rPr>
      <w:rFonts w:ascii="Corbel" w:hAnsi="Corbel"/>
      <w:sz w:val="22"/>
    </w:rPr>
  </w:style>
  <w:style w:type="character" w:styleId="Hyperlink">
    <w:name w:val="Hyperlink"/>
    <w:basedOn w:val="DefaultParagraphFont"/>
    <w:uiPriority w:val="99"/>
    <w:unhideWhenUsed/>
    <w:rsid w:val="00CA5277"/>
    <w:rPr>
      <w:color w:val="0000FF" w:themeColor="hyperlink"/>
      <w:u w:val="single"/>
    </w:rPr>
  </w:style>
  <w:style w:type="paragraph" w:styleId="ListParagraph">
    <w:name w:val="List Paragraph"/>
    <w:basedOn w:val="Normal"/>
    <w:uiPriority w:val="34"/>
    <w:qFormat/>
    <w:rsid w:val="005A6561"/>
    <w:pPr>
      <w:ind w:left="720"/>
      <w:contextualSpacing/>
    </w:pPr>
  </w:style>
  <w:style w:type="character" w:customStyle="1" w:styleId="Heading3Char">
    <w:name w:val="Heading 3 Char"/>
    <w:basedOn w:val="DefaultParagraphFont"/>
    <w:link w:val="Heading3"/>
    <w:uiPriority w:val="9"/>
    <w:semiHidden/>
    <w:rsid w:val="000313B6"/>
    <w:rPr>
      <w:rFonts w:asciiTheme="majorHAnsi" w:eastAsiaTheme="majorEastAsia" w:hAnsiTheme="majorHAnsi" w:cstheme="majorBidi"/>
      <w:color w:val="243F60" w:themeColor="accent1" w:themeShade="7F"/>
      <w:sz w:val="24"/>
      <w:szCs w:val="24"/>
    </w:rPr>
  </w:style>
  <w:style w:type="character" w:styleId="Mention">
    <w:name w:val="Mention"/>
    <w:basedOn w:val="DefaultParagraphFont"/>
    <w:uiPriority w:val="99"/>
    <w:unhideWhenUsed/>
    <w:rsid w:val="00C853DB"/>
    <w:rPr>
      <w:color w:val="2B579A"/>
      <w:shd w:val="clear" w:color="auto" w:fill="E1DFDD"/>
    </w:rPr>
  </w:style>
  <w:style w:type="character" w:styleId="FollowedHyperlink">
    <w:name w:val="FollowedHyperlink"/>
    <w:basedOn w:val="DefaultParagraphFont"/>
    <w:uiPriority w:val="99"/>
    <w:semiHidden/>
    <w:unhideWhenUsed/>
    <w:rsid w:val="006263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788">
      <w:bodyDiv w:val="1"/>
      <w:marLeft w:val="0"/>
      <w:marRight w:val="0"/>
      <w:marTop w:val="0"/>
      <w:marBottom w:val="0"/>
      <w:divBdr>
        <w:top w:val="none" w:sz="0" w:space="0" w:color="auto"/>
        <w:left w:val="none" w:sz="0" w:space="0" w:color="auto"/>
        <w:bottom w:val="none" w:sz="0" w:space="0" w:color="auto"/>
        <w:right w:val="none" w:sz="0" w:space="0" w:color="auto"/>
      </w:divBdr>
      <w:divsChild>
        <w:div w:id="1597055222">
          <w:marLeft w:val="0"/>
          <w:marRight w:val="0"/>
          <w:marTop w:val="0"/>
          <w:marBottom w:val="0"/>
          <w:divBdr>
            <w:top w:val="none" w:sz="0" w:space="0" w:color="auto"/>
            <w:left w:val="none" w:sz="0" w:space="0" w:color="auto"/>
            <w:bottom w:val="none" w:sz="0" w:space="0" w:color="auto"/>
            <w:right w:val="none" w:sz="0" w:space="0" w:color="auto"/>
          </w:divBdr>
        </w:div>
        <w:div w:id="1926844097">
          <w:marLeft w:val="0"/>
          <w:marRight w:val="0"/>
          <w:marTop w:val="0"/>
          <w:marBottom w:val="0"/>
          <w:divBdr>
            <w:top w:val="none" w:sz="0" w:space="0" w:color="auto"/>
            <w:left w:val="none" w:sz="0" w:space="0" w:color="auto"/>
            <w:bottom w:val="none" w:sz="0" w:space="0" w:color="auto"/>
            <w:right w:val="none" w:sz="0" w:space="0" w:color="auto"/>
          </w:divBdr>
        </w:div>
      </w:divsChild>
    </w:div>
    <w:div w:id="57826049">
      <w:bodyDiv w:val="1"/>
      <w:marLeft w:val="0"/>
      <w:marRight w:val="0"/>
      <w:marTop w:val="0"/>
      <w:marBottom w:val="0"/>
      <w:divBdr>
        <w:top w:val="none" w:sz="0" w:space="0" w:color="auto"/>
        <w:left w:val="none" w:sz="0" w:space="0" w:color="auto"/>
        <w:bottom w:val="none" w:sz="0" w:space="0" w:color="auto"/>
        <w:right w:val="none" w:sz="0" w:space="0" w:color="auto"/>
      </w:divBdr>
    </w:div>
    <w:div w:id="91975949">
      <w:bodyDiv w:val="1"/>
      <w:marLeft w:val="0"/>
      <w:marRight w:val="0"/>
      <w:marTop w:val="0"/>
      <w:marBottom w:val="0"/>
      <w:divBdr>
        <w:top w:val="none" w:sz="0" w:space="0" w:color="auto"/>
        <w:left w:val="none" w:sz="0" w:space="0" w:color="auto"/>
        <w:bottom w:val="none" w:sz="0" w:space="0" w:color="auto"/>
        <w:right w:val="none" w:sz="0" w:space="0" w:color="auto"/>
      </w:divBdr>
      <w:divsChild>
        <w:div w:id="378672528">
          <w:marLeft w:val="0"/>
          <w:marRight w:val="0"/>
          <w:marTop w:val="0"/>
          <w:marBottom w:val="0"/>
          <w:divBdr>
            <w:top w:val="none" w:sz="0" w:space="0" w:color="auto"/>
            <w:left w:val="none" w:sz="0" w:space="0" w:color="auto"/>
            <w:bottom w:val="none" w:sz="0" w:space="0" w:color="auto"/>
            <w:right w:val="none" w:sz="0" w:space="0" w:color="auto"/>
          </w:divBdr>
        </w:div>
        <w:div w:id="1333988223">
          <w:marLeft w:val="0"/>
          <w:marRight w:val="0"/>
          <w:marTop w:val="0"/>
          <w:marBottom w:val="0"/>
          <w:divBdr>
            <w:top w:val="none" w:sz="0" w:space="0" w:color="auto"/>
            <w:left w:val="none" w:sz="0" w:space="0" w:color="auto"/>
            <w:bottom w:val="none" w:sz="0" w:space="0" w:color="auto"/>
            <w:right w:val="none" w:sz="0" w:space="0" w:color="auto"/>
          </w:divBdr>
        </w:div>
      </w:divsChild>
    </w:div>
    <w:div w:id="165748641">
      <w:bodyDiv w:val="1"/>
      <w:marLeft w:val="0"/>
      <w:marRight w:val="0"/>
      <w:marTop w:val="0"/>
      <w:marBottom w:val="0"/>
      <w:divBdr>
        <w:top w:val="none" w:sz="0" w:space="0" w:color="auto"/>
        <w:left w:val="none" w:sz="0" w:space="0" w:color="auto"/>
        <w:bottom w:val="none" w:sz="0" w:space="0" w:color="auto"/>
        <w:right w:val="none" w:sz="0" w:space="0" w:color="auto"/>
      </w:divBdr>
    </w:div>
    <w:div w:id="226764025">
      <w:bodyDiv w:val="1"/>
      <w:marLeft w:val="0"/>
      <w:marRight w:val="0"/>
      <w:marTop w:val="0"/>
      <w:marBottom w:val="0"/>
      <w:divBdr>
        <w:top w:val="none" w:sz="0" w:space="0" w:color="auto"/>
        <w:left w:val="none" w:sz="0" w:space="0" w:color="auto"/>
        <w:bottom w:val="none" w:sz="0" w:space="0" w:color="auto"/>
        <w:right w:val="none" w:sz="0" w:space="0" w:color="auto"/>
      </w:divBdr>
      <w:divsChild>
        <w:div w:id="324553690">
          <w:marLeft w:val="0"/>
          <w:marRight w:val="0"/>
          <w:marTop w:val="0"/>
          <w:marBottom w:val="0"/>
          <w:divBdr>
            <w:top w:val="single" w:sz="2" w:space="0" w:color="auto"/>
            <w:left w:val="single" w:sz="2" w:space="0" w:color="auto"/>
            <w:bottom w:val="single" w:sz="2" w:space="0" w:color="auto"/>
            <w:right w:val="single" w:sz="2" w:space="0" w:color="auto"/>
          </w:divBdr>
          <w:divsChild>
            <w:div w:id="674193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4100664">
      <w:bodyDiv w:val="1"/>
      <w:marLeft w:val="0"/>
      <w:marRight w:val="0"/>
      <w:marTop w:val="0"/>
      <w:marBottom w:val="0"/>
      <w:divBdr>
        <w:top w:val="none" w:sz="0" w:space="0" w:color="auto"/>
        <w:left w:val="none" w:sz="0" w:space="0" w:color="auto"/>
        <w:bottom w:val="none" w:sz="0" w:space="0" w:color="auto"/>
        <w:right w:val="none" w:sz="0" w:space="0" w:color="auto"/>
      </w:divBdr>
      <w:divsChild>
        <w:div w:id="838037526">
          <w:marLeft w:val="0"/>
          <w:marRight w:val="0"/>
          <w:marTop w:val="0"/>
          <w:marBottom w:val="0"/>
          <w:divBdr>
            <w:top w:val="none" w:sz="0" w:space="0" w:color="auto"/>
            <w:left w:val="none" w:sz="0" w:space="0" w:color="auto"/>
            <w:bottom w:val="none" w:sz="0" w:space="0" w:color="auto"/>
            <w:right w:val="none" w:sz="0" w:space="0" w:color="auto"/>
          </w:divBdr>
        </w:div>
        <w:div w:id="1135215637">
          <w:marLeft w:val="0"/>
          <w:marRight w:val="0"/>
          <w:marTop w:val="0"/>
          <w:marBottom w:val="0"/>
          <w:divBdr>
            <w:top w:val="none" w:sz="0" w:space="0" w:color="auto"/>
            <w:left w:val="none" w:sz="0" w:space="0" w:color="auto"/>
            <w:bottom w:val="none" w:sz="0" w:space="0" w:color="auto"/>
            <w:right w:val="none" w:sz="0" w:space="0" w:color="auto"/>
          </w:divBdr>
        </w:div>
      </w:divsChild>
    </w:div>
    <w:div w:id="828519108">
      <w:bodyDiv w:val="1"/>
      <w:marLeft w:val="0"/>
      <w:marRight w:val="0"/>
      <w:marTop w:val="0"/>
      <w:marBottom w:val="0"/>
      <w:divBdr>
        <w:top w:val="none" w:sz="0" w:space="0" w:color="auto"/>
        <w:left w:val="none" w:sz="0" w:space="0" w:color="auto"/>
        <w:bottom w:val="none" w:sz="0" w:space="0" w:color="auto"/>
        <w:right w:val="none" w:sz="0" w:space="0" w:color="auto"/>
      </w:divBdr>
    </w:div>
    <w:div w:id="971787096">
      <w:bodyDiv w:val="1"/>
      <w:marLeft w:val="0"/>
      <w:marRight w:val="0"/>
      <w:marTop w:val="0"/>
      <w:marBottom w:val="0"/>
      <w:divBdr>
        <w:top w:val="none" w:sz="0" w:space="0" w:color="auto"/>
        <w:left w:val="none" w:sz="0" w:space="0" w:color="auto"/>
        <w:bottom w:val="none" w:sz="0" w:space="0" w:color="auto"/>
        <w:right w:val="none" w:sz="0" w:space="0" w:color="auto"/>
      </w:divBdr>
      <w:divsChild>
        <w:div w:id="484735688">
          <w:marLeft w:val="0"/>
          <w:marRight w:val="0"/>
          <w:marTop w:val="0"/>
          <w:marBottom w:val="0"/>
          <w:divBdr>
            <w:top w:val="none" w:sz="0" w:space="0" w:color="auto"/>
            <w:left w:val="none" w:sz="0" w:space="0" w:color="auto"/>
            <w:bottom w:val="none" w:sz="0" w:space="0" w:color="auto"/>
            <w:right w:val="none" w:sz="0" w:space="0" w:color="auto"/>
          </w:divBdr>
        </w:div>
        <w:div w:id="1765032366">
          <w:marLeft w:val="0"/>
          <w:marRight w:val="0"/>
          <w:marTop w:val="0"/>
          <w:marBottom w:val="0"/>
          <w:divBdr>
            <w:top w:val="none" w:sz="0" w:space="0" w:color="auto"/>
            <w:left w:val="none" w:sz="0" w:space="0" w:color="auto"/>
            <w:bottom w:val="none" w:sz="0" w:space="0" w:color="auto"/>
            <w:right w:val="none" w:sz="0" w:space="0" w:color="auto"/>
          </w:divBdr>
        </w:div>
        <w:div w:id="2113502927">
          <w:marLeft w:val="0"/>
          <w:marRight w:val="0"/>
          <w:marTop w:val="0"/>
          <w:marBottom w:val="0"/>
          <w:divBdr>
            <w:top w:val="none" w:sz="0" w:space="0" w:color="auto"/>
            <w:left w:val="none" w:sz="0" w:space="0" w:color="auto"/>
            <w:bottom w:val="none" w:sz="0" w:space="0" w:color="auto"/>
            <w:right w:val="none" w:sz="0" w:space="0" w:color="auto"/>
          </w:divBdr>
        </w:div>
      </w:divsChild>
    </w:div>
    <w:div w:id="974216372">
      <w:bodyDiv w:val="1"/>
      <w:marLeft w:val="0"/>
      <w:marRight w:val="0"/>
      <w:marTop w:val="0"/>
      <w:marBottom w:val="0"/>
      <w:divBdr>
        <w:top w:val="none" w:sz="0" w:space="0" w:color="auto"/>
        <w:left w:val="none" w:sz="0" w:space="0" w:color="auto"/>
        <w:bottom w:val="none" w:sz="0" w:space="0" w:color="auto"/>
        <w:right w:val="none" w:sz="0" w:space="0" w:color="auto"/>
      </w:divBdr>
    </w:div>
    <w:div w:id="990400494">
      <w:bodyDiv w:val="1"/>
      <w:marLeft w:val="0"/>
      <w:marRight w:val="0"/>
      <w:marTop w:val="0"/>
      <w:marBottom w:val="0"/>
      <w:divBdr>
        <w:top w:val="none" w:sz="0" w:space="0" w:color="auto"/>
        <w:left w:val="none" w:sz="0" w:space="0" w:color="auto"/>
        <w:bottom w:val="none" w:sz="0" w:space="0" w:color="auto"/>
        <w:right w:val="none" w:sz="0" w:space="0" w:color="auto"/>
      </w:divBdr>
      <w:divsChild>
        <w:div w:id="533931743">
          <w:marLeft w:val="0"/>
          <w:marRight w:val="0"/>
          <w:marTop w:val="0"/>
          <w:marBottom w:val="0"/>
          <w:divBdr>
            <w:top w:val="none" w:sz="0" w:space="0" w:color="auto"/>
            <w:left w:val="none" w:sz="0" w:space="0" w:color="auto"/>
            <w:bottom w:val="none" w:sz="0" w:space="0" w:color="auto"/>
            <w:right w:val="none" w:sz="0" w:space="0" w:color="auto"/>
          </w:divBdr>
        </w:div>
        <w:div w:id="1447895730">
          <w:marLeft w:val="0"/>
          <w:marRight w:val="0"/>
          <w:marTop w:val="0"/>
          <w:marBottom w:val="0"/>
          <w:divBdr>
            <w:top w:val="none" w:sz="0" w:space="0" w:color="auto"/>
            <w:left w:val="none" w:sz="0" w:space="0" w:color="auto"/>
            <w:bottom w:val="none" w:sz="0" w:space="0" w:color="auto"/>
            <w:right w:val="none" w:sz="0" w:space="0" w:color="auto"/>
          </w:divBdr>
        </w:div>
        <w:div w:id="1764451788">
          <w:marLeft w:val="0"/>
          <w:marRight w:val="0"/>
          <w:marTop w:val="0"/>
          <w:marBottom w:val="0"/>
          <w:divBdr>
            <w:top w:val="none" w:sz="0" w:space="0" w:color="auto"/>
            <w:left w:val="none" w:sz="0" w:space="0" w:color="auto"/>
            <w:bottom w:val="none" w:sz="0" w:space="0" w:color="auto"/>
            <w:right w:val="none" w:sz="0" w:space="0" w:color="auto"/>
          </w:divBdr>
        </w:div>
      </w:divsChild>
    </w:div>
    <w:div w:id="1066876583">
      <w:bodyDiv w:val="1"/>
      <w:marLeft w:val="0"/>
      <w:marRight w:val="0"/>
      <w:marTop w:val="0"/>
      <w:marBottom w:val="0"/>
      <w:divBdr>
        <w:top w:val="none" w:sz="0" w:space="0" w:color="auto"/>
        <w:left w:val="none" w:sz="0" w:space="0" w:color="auto"/>
        <w:bottom w:val="none" w:sz="0" w:space="0" w:color="auto"/>
        <w:right w:val="none" w:sz="0" w:space="0" w:color="auto"/>
      </w:divBdr>
      <w:divsChild>
        <w:div w:id="1323048009">
          <w:marLeft w:val="0"/>
          <w:marRight w:val="0"/>
          <w:marTop w:val="0"/>
          <w:marBottom w:val="0"/>
          <w:divBdr>
            <w:top w:val="single" w:sz="2" w:space="0" w:color="auto"/>
            <w:left w:val="single" w:sz="2" w:space="0" w:color="auto"/>
            <w:bottom w:val="single" w:sz="2" w:space="0" w:color="auto"/>
            <w:right w:val="single" w:sz="2" w:space="0" w:color="auto"/>
          </w:divBdr>
          <w:divsChild>
            <w:div w:id="3430944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96693662">
      <w:bodyDiv w:val="1"/>
      <w:marLeft w:val="0"/>
      <w:marRight w:val="0"/>
      <w:marTop w:val="0"/>
      <w:marBottom w:val="0"/>
      <w:divBdr>
        <w:top w:val="none" w:sz="0" w:space="0" w:color="auto"/>
        <w:left w:val="none" w:sz="0" w:space="0" w:color="auto"/>
        <w:bottom w:val="none" w:sz="0" w:space="0" w:color="auto"/>
        <w:right w:val="none" w:sz="0" w:space="0" w:color="auto"/>
      </w:divBdr>
      <w:divsChild>
        <w:div w:id="1553806696">
          <w:marLeft w:val="0"/>
          <w:marRight w:val="0"/>
          <w:marTop w:val="0"/>
          <w:marBottom w:val="0"/>
          <w:divBdr>
            <w:top w:val="none" w:sz="0" w:space="0" w:color="auto"/>
            <w:left w:val="none" w:sz="0" w:space="0" w:color="auto"/>
            <w:bottom w:val="none" w:sz="0" w:space="0" w:color="auto"/>
            <w:right w:val="none" w:sz="0" w:space="0" w:color="auto"/>
          </w:divBdr>
        </w:div>
        <w:div w:id="1937515511">
          <w:marLeft w:val="0"/>
          <w:marRight w:val="0"/>
          <w:marTop w:val="0"/>
          <w:marBottom w:val="0"/>
          <w:divBdr>
            <w:top w:val="none" w:sz="0" w:space="0" w:color="auto"/>
            <w:left w:val="none" w:sz="0" w:space="0" w:color="auto"/>
            <w:bottom w:val="none" w:sz="0" w:space="0" w:color="auto"/>
            <w:right w:val="none" w:sz="0" w:space="0" w:color="auto"/>
          </w:divBdr>
        </w:div>
      </w:divsChild>
    </w:div>
    <w:div w:id="1426419619">
      <w:bodyDiv w:val="1"/>
      <w:marLeft w:val="0"/>
      <w:marRight w:val="0"/>
      <w:marTop w:val="0"/>
      <w:marBottom w:val="0"/>
      <w:divBdr>
        <w:top w:val="none" w:sz="0" w:space="0" w:color="auto"/>
        <w:left w:val="none" w:sz="0" w:space="0" w:color="auto"/>
        <w:bottom w:val="none" w:sz="0" w:space="0" w:color="auto"/>
        <w:right w:val="none" w:sz="0" w:space="0" w:color="auto"/>
      </w:divBdr>
    </w:div>
    <w:div w:id="1434549696">
      <w:bodyDiv w:val="1"/>
      <w:marLeft w:val="0"/>
      <w:marRight w:val="0"/>
      <w:marTop w:val="0"/>
      <w:marBottom w:val="0"/>
      <w:divBdr>
        <w:top w:val="none" w:sz="0" w:space="0" w:color="auto"/>
        <w:left w:val="none" w:sz="0" w:space="0" w:color="auto"/>
        <w:bottom w:val="none" w:sz="0" w:space="0" w:color="auto"/>
        <w:right w:val="none" w:sz="0" w:space="0" w:color="auto"/>
      </w:divBdr>
      <w:divsChild>
        <w:div w:id="804153596">
          <w:marLeft w:val="0"/>
          <w:marRight w:val="0"/>
          <w:marTop w:val="0"/>
          <w:marBottom w:val="0"/>
          <w:divBdr>
            <w:top w:val="none" w:sz="0" w:space="0" w:color="auto"/>
            <w:left w:val="none" w:sz="0" w:space="0" w:color="auto"/>
            <w:bottom w:val="none" w:sz="0" w:space="0" w:color="auto"/>
            <w:right w:val="none" w:sz="0" w:space="0" w:color="auto"/>
          </w:divBdr>
        </w:div>
        <w:div w:id="1082680496">
          <w:marLeft w:val="0"/>
          <w:marRight w:val="0"/>
          <w:marTop w:val="0"/>
          <w:marBottom w:val="0"/>
          <w:divBdr>
            <w:top w:val="none" w:sz="0" w:space="0" w:color="auto"/>
            <w:left w:val="none" w:sz="0" w:space="0" w:color="auto"/>
            <w:bottom w:val="none" w:sz="0" w:space="0" w:color="auto"/>
            <w:right w:val="none" w:sz="0" w:space="0" w:color="auto"/>
          </w:divBdr>
        </w:div>
        <w:div w:id="1168598578">
          <w:marLeft w:val="0"/>
          <w:marRight w:val="0"/>
          <w:marTop w:val="0"/>
          <w:marBottom w:val="0"/>
          <w:divBdr>
            <w:top w:val="none" w:sz="0" w:space="0" w:color="auto"/>
            <w:left w:val="none" w:sz="0" w:space="0" w:color="auto"/>
            <w:bottom w:val="none" w:sz="0" w:space="0" w:color="auto"/>
            <w:right w:val="none" w:sz="0" w:space="0" w:color="auto"/>
          </w:divBdr>
        </w:div>
      </w:divsChild>
    </w:div>
    <w:div w:id="1565264159">
      <w:bodyDiv w:val="1"/>
      <w:marLeft w:val="0"/>
      <w:marRight w:val="0"/>
      <w:marTop w:val="0"/>
      <w:marBottom w:val="0"/>
      <w:divBdr>
        <w:top w:val="none" w:sz="0" w:space="0" w:color="auto"/>
        <w:left w:val="none" w:sz="0" w:space="0" w:color="auto"/>
        <w:bottom w:val="none" w:sz="0" w:space="0" w:color="auto"/>
        <w:right w:val="none" w:sz="0" w:space="0" w:color="auto"/>
      </w:divBdr>
    </w:div>
    <w:div w:id="2081053085">
      <w:bodyDiv w:val="1"/>
      <w:marLeft w:val="0"/>
      <w:marRight w:val="0"/>
      <w:marTop w:val="0"/>
      <w:marBottom w:val="0"/>
      <w:divBdr>
        <w:top w:val="none" w:sz="0" w:space="0" w:color="auto"/>
        <w:left w:val="none" w:sz="0" w:space="0" w:color="auto"/>
        <w:bottom w:val="none" w:sz="0" w:space="0" w:color="auto"/>
        <w:right w:val="none" w:sz="0" w:space="0" w:color="auto"/>
      </w:divBdr>
    </w:div>
    <w:div w:id="2113160060">
      <w:bodyDiv w:val="1"/>
      <w:marLeft w:val="0"/>
      <w:marRight w:val="0"/>
      <w:marTop w:val="0"/>
      <w:marBottom w:val="0"/>
      <w:divBdr>
        <w:top w:val="none" w:sz="0" w:space="0" w:color="auto"/>
        <w:left w:val="none" w:sz="0" w:space="0" w:color="auto"/>
        <w:bottom w:val="none" w:sz="0" w:space="0" w:color="auto"/>
        <w:right w:val="none" w:sz="0" w:space="0" w:color="auto"/>
      </w:divBdr>
      <w:divsChild>
        <w:div w:id="419254808">
          <w:marLeft w:val="0"/>
          <w:marRight w:val="0"/>
          <w:marTop w:val="0"/>
          <w:marBottom w:val="0"/>
          <w:divBdr>
            <w:top w:val="none" w:sz="0" w:space="0" w:color="auto"/>
            <w:left w:val="none" w:sz="0" w:space="0" w:color="auto"/>
            <w:bottom w:val="none" w:sz="0" w:space="0" w:color="auto"/>
            <w:right w:val="none" w:sz="0" w:space="0" w:color="auto"/>
          </w:divBdr>
        </w:div>
        <w:div w:id="1466703931">
          <w:marLeft w:val="0"/>
          <w:marRight w:val="0"/>
          <w:marTop w:val="0"/>
          <w:marBottom w:val="0"/>
          <w:divBdr>
            <w:top w:val="none" w:sz="0" w:space="0" w:color="auto"/>
            <w:left w:val="none" w:sz="0" w:space="0" w:color="auto"/>
            <w:bottom w:val="none" w:sz="0" w:space="0" w:color="auto"/>
            <w:right w:val="none" w:sz="0" w:space="0" w:color="auto"/>
          </w:divBdr>
        </w:div>
        <w:div w:id="21410241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sp@ofgem.gov.uk"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cb9b8b-803b-4490-b567-e65a3085b720">
      <Terms xmlns="http://schemas.microsoft.com/office/infopath/2007/PartnerControls"/>
    </lcf76f155ced4ddcb4097134ff3c332f>
    <TaxCatchAll xmlns="038f6385-163d-4837-a2ce-e161dcb09188"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8" ma:contentTypeDescription="Create a new document." ma:contentTypeScope="" ma:versionID="b924acf664d3cc2c008bf9f1229026c0">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a511933326fa8c1d42f997b98fdfa5b9"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B97A0-E3BC-4645-980F-8C74AB378043}">
  <ds:schemaRefs>
    <ds:schemaRef ds:uri="http://purl.org/dc/terms/"/>
    <ds:schemaRef ds:uri="http://schemas.microsoft.com/office/2006/documentManagement/types"/>
    <ds:schemaRef ds:uri="7f2539ca-516d-4073-9695-924a78267a76"/>
    <ds:schemaRef ds:uri="http://purl.org/dc/elements/1.1/"/>
    <ds:schemaRef ds:uri="http://schemas.microsoft.com/office/2006/metadata/properties"/>
    <ds:schemaRef ds:uri="d7f50e75-90be-4b8b-925d-3fcb8056b73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7D2A125-BE47-45C5-9FED-505CE49363D5}"/>
</file>

<file path=customXml/itemProps3.xml><?xml version="1.0" encoding="utf-8"?>
<ds:datastoreItem xmlns:ds="http://schemas.openxmlformats.org/officeDocument/2006/customXml" ds:itemID="{C61AE608-DD01-4541-8295-CCB09877BA96}">
  <ds:schemaRefs>
    <ds:schemaRef ds:uri="http://schemas.openxmlformats.org/officeDocument/2006/bibliography"/>
  </ds:schemaRefs>
</ds:datastoreItem>
</file>

<file path=customXml/itemProps4.xml><?xml version="1.0" encoding="utf-8"?>
<ds:datastoreItem xmlns:ds="http://schemas.openxmlformats.org/officeDocument/2006/customXml" ds:itemID="{3EA0EBCD-3D3C-4680-98A9-CE50CE920D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2279</Words>
  <Characters>12993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Centre for Sustainable Energy</Company>
  <LinksUpToDate>false</LinksUpToDate>
  <CharactersWithSpaces>15242</CharactersWithSpaces>
  <SharedDoc>false</SharedDoc>
  <HLinks>
    <vt:vector size="6" baseType="variant">
      <vt:variant>
        <vt:i4>2359390</vt:i4>
      </vt:variant>
      <vt:variant>
        <vt:i4>0</vt:i4>
      </vt:variant>
      <vt:variant>
        <vt:i4>0</vt:i4>
      </vt:variant>
      <vt:variant>
        <vt:i4>5</vt:i4>
      </vt:variant>
      <vt:variant>
        <vt:lpwstr>mailto:Resp@ofgem.gov.uk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ruthc</dc:creator>
  <cp:keywords/>
  <cp:lastModifiedBy>Dan Stone</cp:lastModifiedBy>
  <cp:revision>2</cp:revision>
  <cp:lastPrinted>2022-03-22T13:06:00Z</cp:lastPrinted>
  <dcterms:created xsi:type="dcterms:W3CDTF">2025-08-07T14:37:00Z</dcterms:created>
  <dcterms:modified xsi:type="dcterms:W3CDTF">2025-08-07T14:37:00Z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0x010100B897A04BE4877B48AEC8623F331C2D9E</vt:lpwstr>
  </property>
  <property fmtid="{D5CDD505-2E9C-101B-9397-08002B2CF9AE}" pid="3" name="MediaServiceImageTags">
    <vt:lpwstr/>
  </property>
</Properties>
</file>